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BF7D" w14:textId="77777777" w:rsidR="000F087E" w:rsidRDefault="000F087E" w:rsidP="000F087E">
      <w:pPr>
        <w:jc w:val="both"/>
        <w:rPr>
          <w:b/>
          <w:bCs/>
        </w:rPr>
      </w:pPr>
      <w:r>
        <w:rPr>
          <w:b/>
          <w:bCs/>
        </w:rPr>
        <w:t>Part 1: Setting Every Child up to Succeed</w:t>
      </w:r>
    </w:p>
    <w:p w14:paraId="7D96F699" w14:textId="77777777" w:rsidR="000F087E" w:rsidRDefault="000F087E" w:rsidP="000F087E">
      <w:pPr>
        <w:jc w:val="both"/>
        <w:rPr>
          <w:b/>
          <w:bCs/>
        </w:rPr>
      </w:pPr>
      <w:r>
        <w:rPr>
          <w:b/>
          <w:bCs/>
        </w:rPr>
        <w:t>Chapter 1: Our Children’s Futures</w:t>
      </w:r>
    </w:p>
    <w:p w14:paraId="237F43C5" w14:textId="77777777" w:rsidR="000F087E" w:rsidRDefault="000F087E" w:rsidP="000F087E">
      <w:pPr>
        <w:pStyle w:val="ListParagraph"/>
        <w:numPr>
          <w:ilvl w:val="0"/>
          <w:numId w:val="7"/>
        </w:numPr>
        <w:spacing w:line="259" w:lineRule="auto"/>
        <w:jc w:val="both"/>
      </w:pPr>
      <w:r>
        <w:t>A vision for all children to enjoy a childhood rich in opportunity</w:t>
      </w:r>
    </w:p>
    <w:p w14:paraId="64579D87" w14:textId="77777777" w:rsidR="000F087E" w:rsidRDefault="000F087E" w:rsidP="000F087E">
      <w:pPr>
        <w:pStyle w:val="ListParagraph"/>
        <w:numPr>
          <w:ilvl w:val="0"/>
          <w:numId w:val="7"/>
        </w:numPr>
        <w:spacing w:line="259" w:lineRule="auto"/>
        <w:jc w:val="both"/>
      </w:pPr>
      <w:r>
        <w:t xml:space="preserve">Schools will be an anchor in children’s lives, but there is an acknowledgement that schools are not responsible for everything.  The starting point is stable and loving families that </w:t>
      </w:r>
      <w:proofErr w:type="gramStart"/>
      <w:r>
        <w:t>are able to</w:t>
      </w:r>
      <w:proofErr w:type="gramEnd"/>
      <w:r>
        <w:t xml:space="preserve"> access the services that they need, including maternity and health visiting, youth clubs, sports teams and community groups</w:t>
      </w:r>
    </w:p>
    <w:p w14:paraId="10433064" w14:textId="77777777" w:rsidR="000F087E" w:rsidRDefault="000F087E" w:rsidP="000F087E">
      <w:pPr>
        <w:pStyle w:val="ListParagraph"/>
        <w:numPr>
          <w:ilvl w:val="0"/>
          <w:numId w:val="7"/>
        </w:numPr>
        <w:spacing w:line="259" w:lineRule="auto"/>
        <w:jc w:val="both"/>
      </w:pPr>
      <w:r>
        <w:t>To enable children to achieve in school, government must rebuild public services and provide a network of services that wrap around schools, families and children</w:t>
      </w:r>
    </w:p>
    <w:p w14:paraId="7CA438D4" w14:textId="77777777" w:rsidR="000F087E" w:rsidRDefault="000F087E" w:rsidP="000F087E">
      <w:pPr>
        <w:pStyle w:val="ListParagraph"/>
        <w:numPr>
          <w:ilvl w:val="0"/>
          <w:numId w:val="7"/>
        </w:numPr>
        <w:spacing w:line="259" w:lineRule="auto"/>
        <w:jc w:val="both"/>
      </w:pPr>
      <w:r>
        <w:t>The ambition is firstly to make services available, and then to join those services up so that information can be shared, there will be a rebuilding of the service infrastructure and the systems of funding, commissioning and accountability</w:t>
      </w:r>
    </w:p>
    <w:p w14:paraId="43250850" w14:textId="77777777" w:rsidR="000F087E" w:rsidRPr="009F2C01" w:rsidRDefault="000F087E" w:rsidP="000F087E">
      <w:pPr>
        <w:ind w:left="360"/>
        <w:jc w:val="both"/>
        <w:rPr>
          <w:i/>
          <w:iCs/>
        </w:rPr>
      </w:pPr>
      <w:r w:rsidRPr="009F2C01">
        <w:rPr>
          <w:i/>
          <w:iCs/>
        </w:rPr>
        <w:t>“This will require schools, trusts, local authorities, and health services to work together in ways that have become unfamiliar in the last decade.  It will also look different in different parts of the country, reflecting not only the lives of families – but also patterns of devolution and the maturity of strategic as well as local authorities”.</w:t>
      </w:r>
      <w:r>
        <w:rPr>
          <w:rStyle w:val="FootnoteReference"/>
          <w:i/>
          <w:iCs/>
        </w:rPr>
        <w:footnoteReference w:id="1"/>
      </w:r>
    </w:p>
    <w:p w14:paraId="7EBCC318" w14:textId="77777777" w:rsidR="000F087E" w:rsidRDefault="000F087E" w:rsidP="000F087E">
      <w:pPr>
        <w:pStyle w:val="ListParagraph"/>
        <w:numPr>
          <w:ilvl w:val="0"/>
          <w:numId w:val="7"/>
        </w:numPr>
        <w:spacing w:line="259" w:lineRule="auto"/>
        <w:jc w:val="both"/>
      </w:pPr>
      <w:r>
        <w:t xml:space="preserve">Implementation of the </w:t>
      </w:r>
      <w:r w:rsidRPr="00055825">
        <w:rPr>
          <w:i/>
          <w:iCs/>
        </w:rPr>
        <w:t xml:space="preserve">“Giving every child the best start in life” </w:t>
      </w:r>
      <w:r>
        <w:t xml:space="preserve">strategy.  Including Best Start Family Hubs and the Health Babies Programme.  Best Start Family Hubs will provide a single point of access for healthcare services and each hub will have a dedicated SEND practitioner which will assist with early identification of SEND needs, </w:t>
      </w:r>
      <w:r w:rsidRPr="009F2C01">
        <w:rPr>
          <w:i/>
          <w:iCs/>
        </w:rPr>
        <w:t>“backed by over £200 million investment over three years”</w:t>
      </w:r>
    </w:p>
    <w:p w14:paraId="2A956E59" w14:textId="77777777" w:rsidR="000F087E" w:rsidRDefault="000F087E" w:rsidP="000F087E">
      <w:pPr>
        <w:pStyle w:val="ListParagraph"/>
        <w:numPr>
          <w:ilvl w:val="0"/>
          <w:numId w:val="7"/>
        </w:numPr>
        <w:spacing w:line="259" w:lineRule="auto"/>
        <w:jc w:val="both"/>
      </w:pPr>
      <w:r>
        <w:t>Additional funding will be provided from a new Inclusive Early Years Fund to early years providers to identify and respond where children have emerging additional needs</w:t>
      </w:r>
    </w:p>
    <w:p w14:paraId="41B72546" w14:textId="77777777" w:rsidR="000F087E" w:rsidRDefault="000F087E" w:rsidP="000F087E">
      <w:pPr>
        <w:pStyle w:val="ListParagraph"/>
        <w:numPr>
          <w:ilvl w:val="0"/>
          <w:numId w:val="7"/>
        </w:numPr>
        <w:spacing w:line="259" w:lineRule="auto"/>
        <w:jc w:val="both"/>
      </w:pPr>
      <w:r>
        <w:t>A Childcare and Early Education Review will look at how to improve access to early education and care</w:t>
      </w:r>
    </w:p>
    <w:p w14:paraId="2A1DB936" w14:textId="77777777" w:rsidR="000F087E" w:rsidRDefault="000F087E" w:rsidP="000F087E">
      <w:pPr>
        <w:pStyle w:val="ListParagraph"/>
        <w:numPr>
          <w:ilvl w:val="0"/>
          <w:numId w:val="7"/>
        </w:numPr>
        <w:spacing w:line="259" w:lineRule="auto"/>
        <w:jc w:val="both"/>
      </w:pPr>
      <w:r>
        <w:t>The expansion of school-based nurseries and the expansion to 30 hours of government funded childcare</w:t>
      </w:r>
    </w:p>
    <w:p w14:paraId="51570ABB" w14:textId="77777777" w:rsidR="000F087E" w:rsidRDefault="000F087E" w:rsidP="000F087E">
      <w:pPr>
        <w:pStyle w:val="ListParagraph"/>
        <w:numPr>
          <w:ilvl w:val="0"/>
          <w:numId w:val="7"/>
        </w:numPr>
        <w:spacing w:line="259" w:lineRule="auto"/>
        <w:jc w:val="both"/>
      </w:pPr>
      <w:r>
        <w:t>The expansion of the Families First Partnership Programme (which will, inter alia, support school attendance), and the transformation of children’s social care with more than £2bn of new investment since November 2024</w:t>
      </w:r>
    </w:p>
    <w:p w14:paraId="13439808" w14:textId="77777777" w:rsidR="000F087E" w:rsidRDefault="000F087E" w:rsidP="000F087E">
      <w:pPr>
        <w:pStyle w:val="ListParagraph"/>
        <w:numPr>
          <w:ilvl w:val="0"/>
          <w:numId w:val="7"/>
        </w:numPr>
        <w:spacing w:line="259" w:lineRule="auto"/>
        <w:jc w:val="both"/>
      </w:pPr>
      <w:r>
        <w:t>Mental health support teams in every school and college by the end of the parliament</w:t>
      </w:r>
    </w:p>
    <w:p w14:paraId="232C1432" w14:textId="77777777" w:rsidR="000F087E" w:rsidRDefault="000F087E" w:rsidP="000F087E">
      <w:pPr>
        <w:pStyle w:val="ListParagraph"/>
        <w:numPr>
          <w:ilvl w:val="0"/>
          <w:numId w:val="7"/>
        </w:numPr>
        <w:spacing w:line="259" w:lineRule="auto"/>
        <w:jc w:val="both"/>
      </w:pPr>
      <w:r>
        <w:t>Education will be the fourth safeguarding partner in new multi-agency teams</w:t>
      </w:r>
    </w:p>
    <w:p w14:paraId="6D0F78DC" w14:textId="77777777" w:rsidR="000F087E" w:rsidRDefault="000F087E" w:rsidP="000F087E">
      <w:pPr>
        <w:pStyle w:val="ListParagraph"/>
        <w:numPr>
          <w:ilvl w:val="0"/>
          <w:numId w:val="7"/>
        </w:numPr>
        <w:spacing w:line="259" w:lineRule="auto"/>
        <w:jc w:val="both"/>
      </w:pPr>
      <w:r>
        <w:t>Implementation of the child poverty strategy</w:t>
      </w:r>
    </w:p>
    <w:p w14:paraId="059C80B1" w14:textId="77777777" w:rsidR="000F087E" w:rsidRDefault="000F087E" w:rsidP="000F087E">
      <w:pPr>
        <w:pStyle w:val="ListParagraph"/>
        <w:numPr>
          <w:ilvl w:val="0"/>
          <w:numId w:val="7"/>
        </w:numPr>
        <w:spacing w:line="259" w:lineRule="auto"/>
        <w:jc w:val="both"/>
      </w:pPr>
      <w:r>
        <w:t>Investment for children’s play areas and over £400m will be spent on new and upgraded grassroots community sport facilities</w:t>
      </w:r>
    </w:p>
    <w:p w14:paraId="6001C803" w14:textId="77777777" w:rsidR="000F087E" w:rsidRDefault="000F087E" w:rsidP="000F087E">
      <w:pPr>
        <w:pStyle w:val="ListParagraph"/>
        <w:numPr>
          <w:ilvl w:val="0"/>
          <w:numId w:val="7"/>
        </w:numPr>
        <w:spacing w:line="259" w:lineRule="auto"/>
        <w:jc w:val="both"/>
      </w:pPr>
      <w:r>
        <w:t>Pathfinders announced in the Education Estates Strategy will pilot how surplus spaces in the education estate can be used flexibly to meet community need</w:t>
      </w:r>
    </w:p>
    <w:p w14:paraId="3F630065" w14:textId="77777777" w:rsidR="000F087E" w:rsidRDefault="000F087E" w:rsidP="000F087E">
      <w:pPr>
        <w:pStyle w:val="ListParagraph"/>
        <w:numPr>
          <w:ilvl w:val="0"/>
          <w:numId w:val="7"/>
        </w:numPr>
        <w:spacing w:line="259" w:lineRule="auto"/>
        <w:jc w:val="both"/>
      </w:pPr>
      <w:r>
        <w:lastRenderedPageBreak/>
        <w:t>The creation of a new model of local partnership and shared accountability for children’s outcomes across local communities.</w:t>
      </w:r>
    </w:p>
    <w:p w14:paraId="5412EC58" w14:textId="77777777" w:rsidR="000F087E" w:rsidRDefault="000F087E" w:rsidP="000F087E">
      <w:pPr>
        <w:jc w:val="both"/>
        <w:rPr>
          <w:i/>
          <w:iCs/>
        </w:rPr>
      </w:pPr>
      <w:r w:rsidRPr="00E21243">
        <w:rPr>
          <w:i/>
          <w:iCs/>
        </w:rPr>
        <w:t>“Our aim is to enable the conditions that allow a sense of collective endeavour and responsibility: binding local government, schools and trusts, Integrated Care Boards, police, and other local stakeholders around the aim of delivering shared outcomes for children and young people”</w:t>
      </w:r>
      <w:r>
        <w:rPr>
          <w:rStyle w:val="FootnoteReference"/>
          <w:i/>
          <w:iCs/>
        </w:rPr>
        <w:footnoteReference w:id="2"/>
      </w:r>
      <w:r w:rsidRPr="00E21243">
        <w:rPr>
          <w:i/>
          <w:iCs/>
        </w:rPr>
        <w:t>.</w:t>
      </w:r>
    </w:p>
    <w:p w14:paraId="1C97FB03" w14:textId="77777777" w:rsidR="000F087E" w:rsidRDefault="000F087E" w:rsidP="000F087E">
      <w:pPr>
        <w:jc w:val="both"/>
        <w:rPr>
          <w:i/>
          <w:iCs/>
        </w:rPr>
      </w:pPr>
    </w:p>
    <w:p w14:paraId="5141558D" w14:textId="77777777" w:rsidR="000F087E" w:rsidRDefault="000F087E" w:rsidP="000F087E">
      <w:pPr>
        <w:jc w:val="both"/>
        <w:rPr>
          <w:i/>
          <w:iCs/>
        </w:rPr>
      </w:pPr>
    </w:p>
    <w:p w14:paraId="75FDD4BD" w14:textId="77777777" w:rsidR="000F087E" w:rsidRDefault="000F087E" w:rsidP="000F087E">
      <w:pPr>
        <w:jc w:val="both"/>
        <w:rPr>
          <w:i/>
          <w:iCs/>
        </w:rPr>
      </w:pPr>
    </w:p>
    <w:p w14:paraId="4FB0BF1A" w14:textId="77777777" w:rsidR="000F087E" w:rsidRDefault="000F087E" w:rsidP="000F087E">
      <w:pPr>
        <w:jc w:val="both"/>
        <w:rPr>
          <w:i/>
          <w:iCs/>
        </w:rPr>
      </w:pPr>
    </w:p>
    <w:p w14:paraId="7E52A50A" w14:textId="77777777" w:rsidR="000F087E" w:rsidRDefault="000F087E" w:rsidP="000F087E">
      <w:pPr>
        <w:jc w:val="both"/>
        <w:rPr>
          <w:i/>
          <w:iCs/>
        </w:rPr>
      </w:pPr>
    </w:p>
    <w:p w14:paraId="629E0352" w14:textId="77777777" w:rsidR="000F087E" w:rsidRDefault="000F087E" w:rsidP="000F087E">
      <w:pPr>
        <w:jc w:val="both"/>
        <w:rPr>
          <w:i/>
          <w:iCs/>
        </w:rPr>
      </w:pPr>
    </w:p>
    <w:p w14:paraId="02E816D8" w14:textId="77777777" w:rsidR="000F087E" w:rsidRDefault="000F087E" w:rsidP="000F087E">
      <w:pPr>
        <w:jc w:val="both"/>
        <w:rPr>
          <w:i/>
          <w:iCs/>
        </w:rPr>
      </w:pPr>
    </w:p>
    <w:p w14:paraId="351D6DA2" w14:textId="77777777" w:rsidR="000F087E" w:rsidRDefault="000F087E" w:rsidP="000F087E">
      <w:pPr>
        <w:jc w:val="both"/>
        <w:rPr>
          <w:i/>
          <w:iCs/>
        </w:rPr>
      </w:pPr>
    </w:p>
    <w:p w14:paraId="39AFDBB7" w14:textId="77777777" w:rsidR="000F087E" w:rsidRDefault="000F087E" w:rsidP="000F087E">
      <w:pPr>
        <w:jc w:val="both"/>
        <w:rPr>
          <w:i/>
          <w:iCs/>
        </w:rPr>
      </w:pPr>
    </w:p>
    <w:p w14:paraId="79396CF0" w14:textId="77777777" w:rsidR="000F087E" w:rsidRDefault="000F087E" w:rsidP="000F087E">
      <w:pPr>
        <w:jc w:val="both"/>
        <w:rPr>
          <w:i/>
          <w:iCs/>
        </w:rPr>
      </w:pPr>
    </w:p>
    <w:p w14:paraId="67F10E9B" w14:textId="77777777" w:rsidR="000F087E" w:rsidRDefault="000F087E" w:rsidP="000F087E">
      <w:pPr>
        <w:jc w:val="both"/>
        <w:rPr>
          <w:i/>
          <w:iCs/>
        </w:rPr>
      </w:pPr>
    </w:p>
    <w:p w14:paraId="5C577095" w14:textId="77777777" w:rsidR="000F087E" w:rsidRDefault="000F087E" w:rsidP="000F087E">
      <w:pPr>
        <w:jc w:val="both"/>
        <w:rPr>
          <w:i/>
          <w:iCs/>
        </w:rPr>
      </w:pPr>
    </w:p>
    <w:p w14:paraId="4E4BE146" w14:textId="77777777" w:rsidR="000F087E" w:rsidRDefault="000F087E" w:rsidP="000F087E">
      <w:pPr>
        <w:jc w:val="both"/>
        <w:rPr>
          <w:i/>
          <w:iCs/>
        </w:rPr>
      </w:pPr>
    </w:p>
    <w:p w14:paraId="47ADC6EB" w14:textId="77777777" w:rsidR="000F087E" w:rsidRDefault="000F087E" w:rsidP="000F087E">
      <w:pPr>
        <w:jc w:val="both"/>
        <w:rPr>
          <w:i/>
          <w:iCs/>
        </w:rPr>
      </w:pPr>
    </w:p>
    <w:p w14:paraId="6B92A212" w14:textId="77777777" w:rsidR="000F087E" w:rsidRDefault="000F087E" w:rsidP="000F087E">
      <w:pPr>
        <w:jc w:val="both"/>
        <w:rPr>
          <w:i/>
          <w:iCs/>
        </w:rPr>
      </w:pPr>
    </w:p>
    <w:p w14:paraId="572A079E" w14:textId="77777777" w:rsidR="000F087E" w:rsidRDefault="000F087E" w:rsidP="000F087E">
      <w:pPr>
        <w:jc w:val="both"/>
        <w:rPr>
          <w:i/>
          <w:iCs/>
        </w:rPr>
      </w:pPr>
    </w:p>
    <w:p w14:paraId="16302193" w14:textId="77777777" w:rsidR="000F087E" w:rsidRDefault="000F087E" w:rsidP="000F087E">
      <w:pPr>
        <w:jc w:val="both"/>
        <w:rPr>
          <w:i/>
          <w:iCs/>
        </w:rPr>
      </w:pPr>
    </w:p>
    <w:p w14:paraId="30B4A53E" w14:textId="77777777" w:rsidR="000F087E" w:rsidRDefault="000F087E" w:rsidP="000F087E">
      <w:pPr>
        <w:jc w:val="both"/>
        <w:rPr>
          <w:i/>
          <w:iCs/>
        </w:rPr>
      </w:pPr>
    </w:p>
    <w:p w14:paraId="71A8C804" w14:textId="77777777" w:rsidR="000F087E" w:rsidRDefault="000F087E" w:rsidP="000F087E">
      <w:pPr>
        <w:jc w:val="both"/>
        <w:rPr>
          <w:i/>
          <w:iCs/>
        </w:rPr>
      </w:pPr>
    </w:p>
    <w:p w14:paraId="02B7D5DA" w14:textId="77777777" w:rsidR="000F087E" w:rsidRDefault="000F087E" w:rsidP="000F087E">
      <w:pPr>
        <w:jc w:val="both"/>
        <w:rPr>
          <w:i/>
          <w:iCs/>
        </w:rPr>
      </w:pPr>
    </w:p>
    <w:p w14:paraId="7BDC7EC7" w14:textId="77777777" w:rsidR="000F087E" w:rsidRDefault="000F087E" w:rsidP="000F087E">
      <w:pPr>
        <w:jc w:val="both"/>
        <w:rPr>
          <w:i/>
          <w:iCs/>
        </w:rPr>
      </w:pPr>
    </w:p>
    <w:p w14:paraId="5DAC0C94" w14:textId="77777777" w:rsidR="000F087E" w:rsidRPr="00E21243" w:rsidRDefault="000F087E" w:rsidP="000F087E">
      <w:pPr>
        <w:jc w:val="both"/>
        <w:rPr>
          <w:i/>
          <w:iCs/>
        </w:rPr>
      </w:pPr>
    </w:p>
    <w:p w14:paraId="7501DB02" w14:textId="77777777" w:rsidR="000F087E" w:rsidRPr="00002ECB" w:rsidRDefault="000F087E" w:rsidP="000F087E">
      <w:pPr>
        <w:jc w:val="both"/>
        <w:rPr>
          <w:b/>
          <w:bCs/>
        </w:rPr>
      </w:pPr>
      <w:r w:rsidRPr="00002ECB">
        <w:rPr>
          <w:b/>
          <w:bCs/>
        </w:rPr>
        <w:lastRenderedPageBreak/>
        <w:t xml:space="preserve">Chapter 2: </w:t>
      </w:r>
      <w:r>
        <w:rPr>
          <w:b/>
          <w:bCs/>
        </w:rPr>
        <w:t>N</w:t>
      </w:r>
      <w:r w:rsidRPr="00002ECB">
        <w:rPr>
          <w:b/>
          <w:bCs/>
        </w:rPr>
        <w:t xml:space="preserve">arrow to </w:t>
      </w:r>
      <w:r>
        <w:rPr>
          <w:b/>
          <w:bCs/>
        </w:rPr>
        <w:t>B</w:t>
      </w:r>
      <w:r w:rsidRPr="00002ECB">
        <w:rPr>
          <w:b/>
          <w:bCs/>
        </w:rPr>
        <w:t>road</w:t>
      </w:r>
    </w:p>
    <w:p w14:paraId="633BE345" w14:textId="77777777" w:rsidR="000F087E" w:rsidRDefault="000F087E" w:rsidP="000F087E">
      <w:pPr>
        <w:pStyle w:val="ListParagraph"/>
        <w:numPr>
          <w:ilvl w:val="0"/>
          <w:numId w:val="1"/>
        </w:numPr>
        <w:spacing w:line="259" w:lineRule="auto"/>
        <w:jc w:val="both"/>
      </w:pPr>
      <w:r>
        <w:t>Improving transitions through each stage of education, including funding partnerships between early years settings and schools to test and implement different approaches to transitions including for children with SEND</w:t>
      </w:r>
    </w:p>
    <w:p w14:paraId="0B8ABE8A" w14:textId="77777777" w:rsidR="000F087E" w:rsidRDefault="000F087E" w:rsidP="000F087E">
      <w:pPr>
        <w:pStyle w:val="ListParagraph"/>
        <w:numPr>
          <w:ilvl w:val="0"/>
          <w:numId w:val="1"/>
        </w:numPr>
        <w:spacing w:line="259" w:lineRule="auto"/>
        <w:jc w:val="both"/>
      </w:pPr>
      <w:r>
        <w:t>Partnerships will allow staff in schools and early years settings to spend time learning from each other, and best practice for schools that effectively support children into reception, will be published and shared</w:t>
      </w:r>
    </w:p>
    <w:p w14:paraId="64BC59E5" w14:textId="77777777" w:rsidR="000F087E" w:rsidRDefault="000F087E" w:rsidP="000F087E">
      <w:pPr>
        <w:pStyle w:val="ListParagraph"/>
        <w:numPr>
          <w:ilvl w:val="0"/>
          <w:numId w:val="1"/>
        </w:numPr>
        <w:spacing w:line="259" w:lineRule="auto"/>
        <w:jc w:val="both"/>
      </w:pPr>
      <w:r>
        <w:t>The creation of new RISE Reception Networks, new training for reception classroom teachers, continued funding for the Nuffield Early Language Intervention programme in reception</w:t>
      </w:r>
    </w:p>
    <w:p w14:paraId="28D19503" w14:textId="77777777" w:rsidR="000F087E" w:rsidRDefault="000F087E" w:rsidP="000F087E">
      <w:pPr>
        <w:pStyle w:val="ListParagraph"/>
        <w:numPr>
          <w:ilvl w:val="0"/>
          <w:numId w:val="1"/>
        </w:numPr>
        <w:spacing w:line="259" w:lineRule="auto"/>
        <w:jc w:val="both"/>
      </w:pPr>
      <w:r>
        <w:t>RISE universal offer of support will support the ambitions</w:t>
      </w:r>
    </w:p>
    <w:p w14:paraId="0B4E605F" w14:textId="77777777" w:rsidR="000F087E" w:rsidRDefault="000F087E" w:rsidP="000F087E">
      <w:pPr>
        <w:pStyle w:val="ListParagraph"/>
        <w:numPr>
          <w:ilvl w:val="0"/>
          <w:numId w:val="1"/>
        </w:numPr>
        <w:spacing w:line="259" w:lineRule="auto"/>
        <w:jc w:val="both"/>
      </w:pPr>
      <w:r>
        <w:t>Delivering a curriculum that is knowledge-rich, broad, inclusive and innovative.  Taking forward the recommendations of the curriculum and assessment review</w:t>
      </w:r>
    </w:p>
    <w:p w14:paraId="58D3CC8A" w14:textId="77777777" w:rsidR="000F087E" w:rsidRDefault="000F087E" w:rsidP="000F087E">
      <w:pPr>
        <w:pStyle w:val="ListParagraph"/>
        <w:numPr>
          <w:ilvl w:val="0"/>
          <w:numId w:val="1"/>
        </w:numPr>
        <w:spacing w:line="259" w:lineRule="auto"/>
        <w:jc w:val="both"/>
      </w:pPr>
      <w:r>
        <w:t>Citizenship will be compulsory in primary schools</w:t>
      </w:r>
    </w:p>
    <w:p w14:paraId="505AB488" w14:textId="77777777" w:rsidR="000F087E" w:rsidRDefault="000F087E" w:rsidP="000F087E">
      <w:pPr>
        <w:pStyle w:val="ListParagraph"/>
        <w:numPr>
          <w:ilvl w:val="0"/>
          <w:numId w:val="1"/>
        </w:numPr>
        <w:spacing w:line="259" w:lineRule="auto"/>
        <w:jc w:val="both"/>
      </w:pPr>
      <w:r>
        <w:t>Strengthening of cognitive skills</w:t>
      </w:r>
    </w:p>
    <w:p w14:paraId="42CC9C8C" w14:textId="77777777" w:rsidR="000F087E" w:rsidRDefault="000F087E" w:rsidP="000F087E">
      <w:pPr>
        <w:pStyle w:val="ListParagraph"/>
        <w:numPr>
          <w:ilvl w:val="0"/>
          <w:numId w:val="1"/>
        </w:numPr>
        <w:spacing w:line="259" w:lineRule="auto"/>
        <w:jc w:val="both"/>
      </w:pPr>
      <w:r>
        <w:t>Doubling the reach of the Reading Ambition for App CPD programme</w:t>
      </w:r>
    </w:p>
    <w:p w14:paraId="3E9E8A37" w14:textId="77777777" w:rsidR="000F087E" w:rsidRDefault="000F087E" w:rsidP="000F087E">
      <w:pPr>
        <w:pStyle w:val="ListParagraph"/>
        <w:numPr>
          <w:ilvl w:val="0"/>
          <w:numId w:val="1"/>
        </w:numPr>
        <w:spacing w:line="259" w:lineRule="auto"/>
        <w:jc w:val="both"/>
      </w:pPr>
      <w:r>
        <w:t>New statutory reading test for year 8</w:t>
      </w:r>
    </w:p>
    <w:p w14:paraId="63293446" w14:textId="77777777" w:rsidR="000F087E" w:rsidRDefault="000F087E" w:rsidP="000F087E">
      <w:pPr>
        <w:pStyle w:val="ListParagraph"/>
        <w:numPr>
          <w:ilvl w:val="0"/>
          <w:numId w:val="1"/>
        </w:numPr>
        <w:spacing w:line="259" w:lineRule="auto"/>
        <w:jc w:val="both"/>
      </w:pPr>
      <w:r>
        <w:t>Unlocking reading CPD for secondary schools</w:t>
      </w:r>
    </w:p>
    <w:p w14:paraId="3EC74888" w14:textId="77777777" w:rsidR="000F087E" w:rsidRDefault="000F087E" w:rsidP="000F087E">
      <w:pPr>
        <w:pStyle w:val="ListParagraph"/>
        <w:numPr>
          <w:ilvl w:val="0"/>
          <w:numId w:val="1"/>
        </w:numPr>
        <w:spacing w:line="259" w:lineRule="auto"/>
        <w:jc w:val="both"/>
      </w:pPr>
      <w:r>
        <w:t>RISE teams to spread best practice locally and regionally, deepening the partnership between English hubs and RISE as a core part of the Universal RISE offer</w:t>
      </w:r>
    </w:p>
    <w:p w14:paraId="7E3660D8" w14:textId="77777777" w:rsidR="000F087E" w:rsidRDefault="000F087E" w:rsidP="000F087E">
      <w:pPr>
        <w:pStyle w:val="ListParagraph"/>
        <w:numPr>
          <w:ilvl w:val="0"/>
          <w:numId w:val="1"/>
        </w:numPr>
        <w:spacing w:line="259" w:lineRule="auto"/>
        <w:jc w:val="both"/>
      </w:pPr>
      <w:r>
        <w:t>Specifying more on speaking and listening throughout the national curriculum key stages, including the creation of a new oracy framework to enable children to become fluent speakers by the end of Key Stage 2</w:t>
      </w:r>
    </w:p>
    <w:p w14:paraId="072E3DB3" w14:textId="77777777" w:rsidR="000F087E" w:rsidRDefault="000F087E" w:rsidP="000F087E">
      <w:pPr>
        <w:pStyle w:val="ListParagraph"/>
        <w:numPr>
          <w:ilvl w:val="0"/>
          <w:numId w:val="1"/>
        </w:numPr>
        <w:spacing w:line="259" w:lineRule="auto"/>
        <w:jc w:val="both"/>
      </w:pPr>
      <w:r>
        <w:t>Continued support for the writing framework</w:t>
      </w:r>
    </w:p>
    <w:p w14:paraId="1401BFFE" w14:textId="77777777" w:rsidR="000F087E" w:rsidRDefault="000F087E" w:rsidP="000F087E">
      <w:pPr>
        <w:pStyle w:val="ListParagraph"/>
        <w:numPr>
          <w:ilvl w:val="0"/>
          <w:numId w:val="1"/>
        </w:numPr>
        <w:spacing w:line="259" w:lineRule="auto"/>
        <w:jc w:val="both"/>
      </w:pPr>
      <w:r>
        <w:t>All schools to assess pupil progress in writing in year 8</w:t>
      </w:r>
    </w:p>
    <w:p w14:paraId="222F1D16" w14:textId="77777777" w:rsidR="000F087E" w:rsidRDefault="000F087E" w:rsidP="000F087E">
      <w:pPr>
        <w:pStyle w:val="ListParagraph"/>
        <w:numPr>
          <w:ilvl w:val="0"/>
          <w:numId w:val="1"/>
        </w:numPr>
        <w:spacing w:line="259" w:lineRule="auto"/>
        <w:jc w:val="both"/>
      </w:pPr>
      <w:r>
        <w:t>The publication of a combined secondary oracy, reading and writing framework</w:t>
      </w:r>
    </w:p>
    <w:p w14:paraId="047B961C" w14:textId="77777777" w:rsidR="000F087E" w:rsidRDefault="000F087E" w:rsidP="000F087E">
      <w:pPr>
        <w:pStyle w:val="ListParagraph"/>
        <w:numPr>
          <w:ilvl w:val="0"/>
          <w:numId w:val="1"/>
        </w:numPr>
        <w:spacing w:line="259" w:lineRule="auto"/>
        <w:jc w:val="both"/>
      </w:pPr>
      <w:r>
        <w:t>Deepening the partnership between Maths Hubs and RISE as a core part of the universal RISE offer</w:t>
      </w:r>
    </w:p>
    <w:p w14:paraId="143A5DBB" w14:textId="77777777" w:rsidR="000F087E" w:rsidRDefault="000F087E" w:rsidP="000F087E">
      <w:pPr>
        <w:pStyle w:val="ListParagraph"/>
        <w:numPr>
          <w:ilvl w:val="0"/>
          <w:numId w:val="1"/>
        </w:numPr>
        <w:spacing w:line="259" w:lineRule="auto"/>
        <w:jc w:val="both"/>
      </w:pPr>
      <w:r>
        <w:t>Reform of the Advanced Maths Support Programme and the new Higher Level Maths Achievement Programme</w:t>
      </w:r>
    </w:p>
    <w:p w14:paraId="1E2A9332" w14:textId="77777777" w:rsidR="000F087E" w:rsidRDefault="000F087E" w:rsidP="000F087E">
      <w:pPr>
        <w:pStyle w:val="ListParagraph"/>
        <w:numPr>
          <w:ilvl w:val="0"/>
          <w:numId w:val="1"/>
        </w:numPr>
        <w:spacing w:line="259" w:lineRule="auto"/>
        <w:jc w:val="both"/>
      </w:pPr>
      <w:r>
        <w:t>New Level 1 preparation for GCSE qualifications in English and maths for 16–19-year-olds who have a grade 2 or lower to assist with resits</w:t>
      </w:r>
    </w:p>
    <w:p w14:paraId="625DAAD8" w14:textId="77777777" w:rsidR="000F087E" w:rsidRDefault="000F087E" w:rsidP="000F087E">
      <w:pPr>
        <w:pStyle w:val="ListParagraph"/>
        <w:numPr>
          <w:ilvl w:val="0"/>
          <w:numId w:val="1"/>
        </w:numPr>
        <w:spacing w:line="259" w:lineRule="auto"/>
        <w:jc w:val="both"/>
      </w:pPr>
      <w:r>
        <w:t>Students without a grade 4 or above in English and maths will bring in extra funding per subject plus additional funding linked to low prior attainment</w:t>
      </w:r>
    </w:p>
    <w:p w14:paraId="3E701DD3" w14:textId="77777777" w:rsidR="000F087E" w:rsidRDefault="000F087E" w:rsidP="000F087E">
      <w:pPr>
        <w:pStyle w:val="ListParagraph"/>
        <w:numPr>
          <w:ilvl w:val="0"/>
          <w:numId w:val="1"/>
        </w:numPr>
        <w:spacing w:line="259" w:lineRule="auto"/>
        <w:jc w:val="both"/>
      </w:pPr>
      <w:r>
        <w:t>Improved transition between key stage 2 and key stage 3 and improved progress during key stage 3, the introduction of a new RISE Key Stage 3 Alliance</w:t>
      </w:r>
    </w:p>
    <w:p w14:paraId="6E34FD11" w14:textId="77777777" w:rsidR="000F087E" w:rsidRDefault="000F087E" w:rsidP="000F087E">
      <w:pPr>
        <w:pStyle w:val="ListParagraph"/>
        <w:numPr>
          <w:ilvl w:val="0"/>
          <w:numId w:val="1"/>
        </w:numPr>
        <w:spacing w:line="259" w:lineRule="auto"/>
        <w:jc w:val="both"/>
      </w:pPr>
      <w:r>
        <w:t>Enrichment for every child, the publication of the Enrichment Framework this academic year</w:t>
      </w:r>
    </w:p>
    <w:p w14:paraId="01DD7814" w14:textId="77777777" w:rsidR="000F087E" w:rsidRDefault="000F087E" w:rsidP="000F087E">
      <w:pPr>
        <w:pStyle w:val="ListParagraph"/>
        <w:numPr>
          <w:ilvl w:val="0"/>
          <w:numId w:val="1"/>
        </w:numPr>
        <w:spacing w:line="259" w:lineRule="auto"/>
        <w:jc w:val="both"/>
      </w:pPr>
      <w:r>
        <w:t>Working with DCMS and as set out in the National Youth Strategy, an investment of £22.5m over 3 years to enable 400 schools in the most deprived areas to meet the enrichment benchmarks</w:t>
      </w:r>
    </w:p>
    <w:p w14:paraId="28545755" w14:textId="77777777" w:rsidR="000F087E" w:rsidRDefault="000F087E" w:rsidP="000F087E">
      <w:pPr>
        <w:pStyle w:val="ListParagraph"/>
        <w:numPr>
          <w:ilvl w:val="0"/>
          <w:numId w:val="1"/>
        </w:numPr>
        <w:spacing w:line="259" w:lineRule="auto"/>
        <w:jc w:val="both"/>
      </w:pPr>
      <w:r>
        <w:lastRenderedPageBreak/>
        <w:t xml:space="preserve">£132.5m in funding through </w:t>
      </w:r>
      <w:proofErr w:type="gramStart"/>
      <w:r>
        <w:t>the Every</w:t>
      </w:r>
      <w:proofErr w:type="gramEnd"/>
      <w:r>
        <w:t xml:space="preserve"> Child Can programme</w:t>
      </w:r>
    </w:p>
    <w:p w14:paraId="46A716F9" w14:textId="77777777" w:rsidR="000F087E" w:rsidRDefault="000F087E" w:rsidP="000F087E">
      <w:pPr>
        <w:pStyle w:val="ListParagraph"/>
        <w:numPr>
          <w:ilvl w:val="0"/>
          <w:numId w:val="1"/>
        </w:numPr>
        <w:spacing w:line="259" w:lineRule="auto"/>
        <w:jc w:val="both"/>
      </w:pPr>
      <w:proofErr w:type="spellStart"/>
      <w:r>
        <w:t>TechYouth</w:t>
      </w:r>
      <w:proofErr w:type="spellEnd"/>
      <w:r>
        <w:t xml:space="preserve"> programme - £24m to deliver high-quality extracurricular technology education to one million secondary children across the UK</w:t>
      </w:r>
    </w:p>
    <w:p w14:paraId="132916B1" w14:textId="77777777" w:rsidR="000F087E" w:rsidRDefault="000F087E" w:rsidP="000F087E">
      <w:pPr>
        <w:pStyle w:val="ListParagraph"/>
        <w:numPr>
          <w:ilvl w:val="0"/>
          <w:numId w:val="1"/>
        </w:numPr>
        <w:spacing w:line="259" w:lineRule="auto"/>
        <w:jc w:val="both"/>
      </w:pPr>
      <w:r>
        <w:t>Recognising breadth in the accountability system</w:t>
      </w:r>
    </w:p>
    <w:p w14:paraId="2A583BAD" w14:textId="77777777" w:rsidR="000F087E" w:rsidRDefault="000F087E" w:rsidP="000F087E">
      <w:pPr>
        <w:pStyle w:val="ListParagraph"/>
        <w:numPr>
          <w:ilvl w:val="0"/>
          <w:numId w:val="1"/>
        </w:numPr>
        <w:spacing w:line="259" w:lineRule="auto"/>
        <w:jc w:val="both"/>
      </w:pPr>
      <w:r>
        <w:t>Improved progress 8 model</w:t>
      </w:r>
    </w:p>
    <w:p w14:paraId="15F6183E" w14:textId="77777777" w:rsidR="000F087E" w:rsidRDefault="000F087E" w:rsidP="000F087E">
      <w:pPr>
        <w:pStyle w:val="ListParagraph"/>
        <w:numPr>
          <w:ilvl w:val="0"/>
          <w:numId w:val="1"/>
        </w:numPr>
        <w:spacing w:line="259" w:lineRule="auto"/>
        <w:jc w:val="both"/>
      </w:pPr>
      <w:r>
        <w:t>New careers statutory guidance, updated Gatsby Benchmarks</w:t>
      </w:r>
    </w:p>
    <w:p w14:paraId="1D0CC570" w14:textId="77777777" w:rsidR="000F087E" w:rsidRDefault="000F087E" w:rsidP="000F087E">
      <w:pPr>
        <w:pStyle w:val="ListParagraph"/>
        <w:numPr>
          <w:ilvl w:val="0"/>
          <w:numId w:val="1"/>
        </w:numPr>
        <w:spacing w:line="259" w:lineRule="auto"/>
        <w:jc w:val="both"/>
      </w:pPr>
      <w:r>
        <w:t>Ambition for two weeks work experience for every child</w:t>
      </w:r>
    </w:p>
    <w:p w14:paraId="0DFF1509" w14:textId="77777777" w:rsidR="000F087E" w:rsidRDefault="000F087E" w:rsidP="000F087E">
      <w:pPr>
        <w:pStyle w:val="ListParagraph"/>
        <w:numPr>
          <w:ilvl w:val="0"/>
          <w:numId w:val="1"/>
        </w:numPr>
        <w:spacing w:line="259" w:lineRule="auto"/>
        <w:jc w:val="both"/>
      </w:pPr>
      <w:r>
        <w:t>Improved transition between school and further education</w:t>
      </w:r>
    </w:p>
    <w:p w14:paraId="0DD6A85B" w14:textId="77777777" w:rsidR="000F087E" w:rsidRDefault="000F087E" w:rsidP="000F087E">
      <w:pPr>
        <w:pStyle w:val="ListParagraph"/>
        <w:numPr>
          <w:ilvl w:val="0"/>
          <w:numId w:val="1"/>
        </w:numPr>
        <w:spacing w:line="259" w:lineRule="auto"/>
        <w:jc w:val="both"/>
      </w:pPr>
      <w:r>
        <w:t>Improved data sharing between schools, local authorities and post-16 providers and allocating a place automatically to those young people who do not have a post-16 plan</w:t>
      </w:r>
    </w:p>
    <w:p w14:paraId="7F05535E" w14:textId="77777777" w:rsidR="000F087E" w:rsidRDefault="000F087E" w:rsidP="000F087E">
      <w:pPr>
        <w:pStyle w:val="ListParagraph"/>
        <w:numPr>
          <w:ilvl w:val="0"/>
          <w:numId w:val="1"/>
        </w:numPr>
        <w:spacing w:line="259" w:lineRule="auto"/>
        <w:jc w:val="both"/>
      </w:pPr>
      <w:r>
        <w:t>Introduction of V levels, strengthening post-16 level 2 options.</w:t>
      </w:r>
    </w:p>
    <w:p w14:paraId="3023941C" w14:textId="77777777" w:rsidR="000F087E" w:rsidRDefault="000F087E" w:rsidP="000F087E">
      <w:pPr>
        <w:pStyle w:val="ListParagraph"/>
        <w:spacing w:line="259" w:lineRule="auto"/>
        <w:jc w:val="both"/>
      </w:pPr>
    </w:p>
    <w:p w14:paraId="72204CF1" w14:textId="77777777" w:rsidR="000F087E" w:rsidRDefault="000F087E" w:rsidP="000F087E">
      <w:pPr>
        <w:pStyle w:val="ListParagraph"/>
        <w:spacing w:line="259" w:lineRule="auto"/>
        <w:jc w:val="both"/>
      </w:pPr>
    </w:p>
    <w:p w14:paraId="6E370DE4" w14:textId="77777777" w:rsidR="000F087E" w:rsidRDefault="000F087E" w:rsidP="000F087E">
      <w:pPr>
        <w:pStyle w:val="ListParagraph"/>
        <w:spacing w:line="259" w:lineRule="auto"/>
        <w:jc w:val="both"/>
      </w:pPr>
    </w:p>
    <w:p w14:paraId="5793B035" w14:textId="77777777" w:rsidR="000F087E" w:rsidRDefault="000F087E" w:rsidP="000F087E">
      <w:pPr>
        <w:pStyle w:val="ListParagraph"/>
        <w:spacing w:line="259" w:lineRule="auto"/>
        <w:jc w:val="both"/>
      </w:pPr>
    </w:p>
    <w:p w14:paraId="26265C8E" w14:textId="77777777" w:rsidR="000F087E" w:rsidRDefault="000F087E" w:rsidP="000F087E">
      <w:pPr>
        <w:pStyle w:val="ListParagraph"/>
        <w:spacing w:line="259" w:lineRule="auto"/>
        <w:jc w:val="both"/>
      </w:pPr>
    </w:p>
    <w:p w14:paraId="6BE48049" w14:textId="77777777" w:rsidR="000F087E" w:rsidRDefault="000F087E" w:rsidP="000F087E">
      <w:pPr>
        <w:pStyle w:val="ListParagraph"/>
        <w:spacing w:line="259" w:lineRule="auto"/>
        <w:jc w:val="both"/>
      </w:pPr>
    </w:p>
    <w:p w14:paraId="64921282" w14:textId="77777777" w:rsidR="000F087E" w:rsidRDefault="000F087E" w:rsidP="000F087E">
      <w:pPr>
        <w:pStyle w:val="ListParagraph"/>
        <w:spacing w:line="259" w:lineRule="auto"/>
        <w:jc w:val="both"/>
      </w:pPr>
    </w:p>
    <w:p w14:paraId="00E76403" w14:textId="77777777" w:rsidR="000F087E" w:rsidRDefault="000F087E" w:rsidP="000F087E">
      <w:pPr>
        <w:pStyle w:val="ListParagraph"/>
        <w:spacing w:line="259" w:lineRule="auto"/>
        <w:jc w:val="both"/>
      </w:pPr>
    </w:p>
    <w:p w14:paraId="093FBC27" w14:textId="77777777" w:rsidR="000F087E" w:rsidRDefault="000F087E" w:rsidP="000F087E">
      <w:pPr>
        <w:pStyle w:val="ListParagraph"/>
        <w:spacing w:line="259" w:lineRule="auto"/>
        <w:jc w:val="both"/>
      </w:pPr>
    </w:p>
    <w:p w14:paraId="49010818" w14:textId="77777777" w:rsidR="000F087E" w:rsidRDefault="000F087E" w:rsidP="000F087E">
      <w:pPr>
        <w:pStyle w:val="ListParagraph"/>
        <w:spacing w:line="259" w:lineRule="auto"/>
        <w:jc w:val="both"/>
      </w:pPr>
    </w:p>
    <w:p w14:paraId="6BAE096A" w14:textId="77777777" w:rsidR="000F087E" w:rsidRDefault="000F087E" w:rsidP="000F087E">
      <w:pPr>
        <w:pStyle w:val="ListParagraph"/>
        <w:spacing w:line="259" w:lineRule="auto"/>
        <w:jc w:val="both"/>
      </w:pPr>
    </w:p>
    <w:p w14:paraId="7C121328" w14:textId="77777777" w:rsidR="000F087E" w:rsidRDefault="000F087E" w:rsidP="000F087E">
      <w:pPr>
        <w:pStyle w:val="ListParagraph"/>
        <w:spacing w:line="259" w:lineRule="auto"/>
        <w:jc w:val="both"/>
      </w:pPr>
    </w:p>
    <w:p w14:paraId="30492280" w14:textId="77777777" w:rsidR="000F087E" w:rsidRDefault="000F087E" w:rsidP="000F087E">
      <w:pPr>
        <w:pStyle w:val="ListParagraph"/>
        <w:spacing w:line="259" w:lineRule="auto"/>
        <w:jc w:val="both"/>
      </w:pPr>
    </w:p>
    <w:p w14:paraId="77E649A7" w14:textId="77777777" w:rsidR="000F087E" w:rsidRDefault="000F087E" w:rsidP="000F087E">
      <w:pPr>
        <w:pStyle w:val="ListParagraph"/>
        <w:spacing w:line="259" w:lineRule="auto"/>
        <w:jc w:val="both"/>
      </w:pPr>
    </w:p>
    <w:p w14:paraId="38AE48B8" w14:textId="77777777" w:rsidR="000F087E" w:rsidRDefault="000F087E" w:rsidP="000F087E">
      <w:pPr>
        <w:pStyle w:val="ListParagraph"/>
        <w:spacing w:line="259" w:lineRule="auto"/>
        <w:jc w:val="both"/>
      </w:pPr>
    </w:p>
    <w:p w14:paraId="5B9DBD9A" w14:textId="77777777" w:rsidR="000F087E" w:rsidRDefault="000F087E" w:rsidP="000F087E">
      <w:pPr>
        <w:pStyle w:val="ListParagraph"/>
        <w:spacing w:line="259" w:lineRule="auto"/>
        <w:jc w:val="both"/>
      </w:pPr>
    </w:p>
    <w:p w14:paraId="32471483" w14:textId="77777777" w:rsidR="000F087E" w:rsidRDefault="000F087E" w:rsidP="000F087E">
      <w:pPr>
        <w:pStyle w:val="ListParagraph"/>
        <w:spacing w:line="259" w:lineRule="auto"/>
        <w:jc w:val="both"/>
      </w:pPr>
    </w:p>
    <w:p w14:paraId="26B91C67" w14:textId="77777777" w:rsidR="000F087E" w:rsidRDefault="000F087E" w:rsidP="000F087E">
      <w:pPr>
        <w:pStyle w:val="ListParagraph"/>
        <w:spacing w:line="259" w:lineRule="auto"/>
        <w:jc w:val="both"/>
      </w:pPr>
    </w:p>
    <w:p w14:paraId="1ADD462C" w14:textId="77777777" w:rsidR="000F087E" w:rsidRDefault="000F087E" w:rsidP="000F087E">
      <w:pPr>
        <w:pStyle w:val="ListParagraph"/>
        <w:spacing w:line="259" w:lineRule="auto"/>
        <w:jc w:val="both"/>
      </w:pPr>
    </w:p>
    <w:p w14:paraId="7BFA7D8E" w14:textId="77777777" w:rsidR="000F087E" w:rsidRDefault="000F087E" w:rsidP="000F087E">
      <w:pPr>
        <w:pStyle w:val="ListParagraph"/>
        <w:spacing w:line="259" w:lineRule="auto"/>
        <w:jc w:val="both"/>
      </w:pPr>
    </w:p>
    <w:p w14:paraId="14189E69" w14:textId="77777777" w:rsidR="000F087E" w:rsidRDefault="000F087E" w:rsidP="000F087E">
      <w:pPr>
        <w:pStyle w:val="ListParagraph"/>
        <w:spacing w:line="259" w:lineRule="auto"/>
        <w:jc w:val="both"/>
      </w:pPr>
    </w:p>
    <w:p w14:paraId="05D584F1" w14:textId="77777777" w:rsidR="000F087E" w:rsidRDefault="000F087E" w:rsidP="000F087E">
      <w:pPr>
        <w:pStyle w:val="ListParagraph"/>
        <w:spacing w:line="259" w:lineRule="auto"/>
        <w:jc w:val="both"/>
      </w:pPr>
    </w:p>
    <w:p w14:paraId="6EDCC438" w14:textId="77777777" w:rsidR="000F087E" w:rsidRDefault="000F087E" w:rsidP="000F087E">
      <w:pPr>
        <w:pStyle w:val="ListParagraph"/>
        <w:spacing w:line="259" w:lineRule="auto"/>
        <w:jc w:val="both"/>
      </w:pPr>
    </w:p>
    <w:p w14:paraId="61FA0DEA" w14:textId="77777777" w:rsidR="000F087E" w:rsidRDefault="000F087E" w:rsidP="000F087E">
      <w:pPr>
        <w:pStyle w:val="ListParagraph"/>
        <w:spacing w:line="259" w:lineRule="auto"/>
        <w:jc w:val="both"/>
      </w:pPr>
    </w:p>
    <w:p w14:paraId="597171A0" w14:textId="77777777" w:rsidR="000F087E" w:rsidRDefault="000F087E" w:rsidP="000F087E">
      <w:pPr>
        <w:pStyle w:val="ListParagraph"/>
        <w:spacing w:line="259" w:lineRule="auto"/>
        <w:jc w:val="both"/>
      </w:pPr>
    </w:p>
    <w:p w14:paraId="39D604B8" w14:textId="77777777" w:rsidR="000F087E" w:rsidRDefault="000F087E" w:rsidP="000F087E">
      <w:pPr>
        <w:pStyle w:val="ListParagraph"/>
        <w:spacing w:line="259" w:lineRule="auto"/>
        <w:jc w:val="both"/>
      </w:pPr>
    </w:p>
    <w:p w14:paraId="5F9EE273" w14:textId="77777777" w:rsidR="000F087E" w:rsidRDefault="000F087E" w:rsidP="000F087E">
      <w:pPr>
        <w:pStyle w:val="ListParagraph"/>
        <w:spacing w:line="259" w:lineRule="auto"/>
        <w:jc w:val="both"/>
      </w:pPr>
    </w:p>
    <w:p w14:paraId="6EB7A4CE" w14:textId="77777777" w:rsidR="000F087E" w:rsidRDefault="000F087E" w:rsidP="000F087E">
      <w:pPr>
        <w:pStyle w:val="ListParagraph"/>
        <w:spacing w:line="259" w:lineRule="auto"/>
        <w:jc w:val="both"/>
      </w:pPr>
    </w:p>
    <w:p w14:paraId="57DB40BA" w14:textId="77777777" w:rsidR="000F087E" w:rsidRDefault="000F087E" w:rsidP="000F087E">
      <w:pPr>
        <w:pStyle w:val="ListParagraph"/>
        <w:spacing w:line="259" w:lineRule="auto"/>
        <w:jc w:val="both"/>
      </w:pPr>
    </w:p>
    <w:p w14:paraId="21B3F56D" w14:textId="77777777" w:rsidR="000F087E" w:rsidRDefault="000F087E" w:rsidP="000F087E">
      <w:pPr>
        <w:pStyle w:val="ListParagraph"/>
        <w:spacing w:line="259" w:lineRule="auto"/>
        <w:jc w:val="both"/>
      </w:pPr>
    </w:p>
    <w:p w14:paraId="62BF19D2" w14:textId="77777777" w:rsidR="000F087E" w:rsidRDefault="000F087E" w:rsidP="000F087E">
      <w:pPr>
        <w:pStyle w:val="ListParagraph"/>
        <w:spacing w:line="259" w:lineRule="auto"/>
        <w:jc w:val="both"/>
      </w:pPr>
    </w:p>
    <w:p w14:paraId="0A5C32B7" w14:textId="77777777" w:rsidR="000F087E" w:rsidRDefault="000F087E" w:rsidP="000F087E">
      <w:pPr>
        <w:jc w:val="both"/>
        <w:rPr>
          <w:b/>
          <w:bCs/>
        </w:rPr>
      </w:pPr>
      <w:r w:rsidRPr="00002ECB">
        <w:rPr>
          <w:b/>
          <w:bCs/>
        </w:rPr>
        <w:lastRenderedPageBreak/>
        <w:t xml:space="preserve">Chapter 3: </w:t>
      </w:r>
      <w:r>
        <w:rPr>
          <w:b/>
          <w:bCs/>
        </w:rPr>
        <w:t>S</w:t>
      </w:r>
      <w:r w:rsidRPr="00002ECB">
        <w:rPr>
          <w:b/>
          <w:bCs/>
        </w:rPr>
        <w:t xml:space="preserve">idelined to </w:t>
      </w:r>
      <w:r>
        <w:rPr>
          <w:b/>
          <w:bCs/>
        </w:rPr>
        <w:t>I</w:t>
      </w:r>
      <w:r w:rsidRPr="00002ECB">
        <w:rPr>
          <w:b/>
          <w:bCs/>
        </w:rPr>
        <w:t>ncluded</w:t>
      </w:r>
    </w:p>
    <w:p w14:paraId="0E1249CF" w14:textId="77777777" w:rsidR="000F087E" w:rsidRPr="00976F45" w:rsidRDefault="000F087E" w:rsidP="000F087E">
      <w:pPr>
        <w:jc w:val="both"/>
        <w:rPr>
          <w:i/>
          <w:iCs/>
        </w:rPr>
      </w:pPr>
      <w:r w:rsidRPr="00976F45">
        <w:rPr>
          <w:i/>
          <w:iCs/>
        </w:rPr>
        <w:t>“High standards and inclusion work together as two sides of the same coin”</w:t>
      </w:r>
      <w:r>
        <w:rPr>
          <w:i/>
          <w:iCs/>
        </w:rPr>
        <w:t>.</w:t>
      </w:r>
      <w:r>
        <w:rPr>
          <w:rStyle w:val="FootnoteReference"/>
          <w:i/>
          <w:iCs/>
        </w:rPr>
        <w:footnoteReference w:id="3"/>
      </w:r>
    </w:p>
    <w:p w14:paraId="6EA64DEF" w14:textId="77777777" w:rsidR="000F087E" w:rsidRDefault="000F087E" w:rsidP="000F087E">
      <w:pPr>
        <w:pStyle w:val="ListParagraph"/>
        <w:numPr>
          <w:ilvl w:val="0"/>
          <w:numId w:val="2"/>
        </w:numPr>
        <w:spacing w:line="259" w:lineRule="auto"/>
        <w:jc w:val="both"/>
      </w:pPr>
      <w:r>
        <w:t>Mostly related to SEND.  The plans for SEND reform are set out in a separate consultation.  What is set out below includes proposals that will be consulted on</w:t>
      </w:r>
    </w:p>
    <w:p w14:paraId="7D08AB74" w14:textId="77777777" w:rsidR="000F087E" w:rsidRDefault="000F087E" w:rsidP="000F087E">
      <w:pPr>
        <w:pStyle w:val="ListParagraph"/>
        <w:numPr>
          <w:ilvl w:val="0"/>
          <w:numId w:val="2"/>
        </w:numPr>
        <w:spacing w:line="259" w:lineRule="auto"/>
        <w:jc w:val="both"/>
      </w:pPr>
      <w:r>
        <w:t>New SEND CPD programme and more content on adaptive teaching in the teacher training and early career framework</w:t>
      </w:r>
    </w:p>
    <w:p w14:paraId="50A6750E" w14:textId="77777777" w:rsidR="000F087E" w:rsidRDefault="000F087E" w:rsidP="000F087E">
      <w:pPr>
        <w:pStyle w:val="ListParagraph"/>
        <w:numPr>
          <w:ilvl w:val="0"/>
          <w:numId w:val="2"/>
        </w:numPr>
        <w:spacing w:line="259" w:lineRule="auto"/>
        <w:jc w:val="both"/>
      </w:pPr>
      <w:r>
        <w:t>All children stretched and challenged</w:t>
      </w:r>
    </w:p>
    <w:p w14:paraId="1CE573ED" w14:textId="77777777" w:rsidR="000F087E" w:rsidRDefault="000F087E" w:rsidP="000F087E">
      <w:pPr>
        <w:pStyle w:val="ListParagraph"/>
        <w:numPr>
          <w:ilvl w:val="0"/>
          <w:numId w:val="2"/>
        </w:numPr>
        <w:spacing w:line="259" w:lineRule="auto"/>
        <w:jc w:val="both"/>
      </w:pPr>
      <w:r>
        <w:t>Opportunities for academic enrichment, assistance for schools to identify effective programmes and get the best out of them</w:t>
      </w:r>
    </w:p>
    <w:p w14:paraId="299D1CC5" w14:textId="77777777" w:rsidR="000F087E" w:rsidRDefault="000F087E" w:rsidP="000F087E">
      <w:pPr>
        <w:pStyle w:val="ListParagraph"/>
        <w:numPr>
          <w:ilvl w:val="0"/>
          <w:numId w:val="2"/>
        </w:numPr>
        <w:spacing w:line="259" w:lineRule="auto"/>
        <w:jc w:val="both"/>
      </w:pPr>
      <w:r>
        <w:t>Looking at funding for pupil premium and NFF to see how it deals with deprivation and disadvantaged children, to close the gaps for the most disadvantaged.  The current funding does not take account of how long a child has been at a disadvantage for.  Development of a new model for targeting disadvantage funding – consultation in Summer 2026</w:t>
      </w:r>
    </w:p>
    <w:p w14:paraId="0B658AF6" w14:textId="77777777" w:rsidR="000F087E" w:rsidRDefault="000F087E" w:rsidP="000F087E">
      <w:pPr>
        <w:pStyle w:val="ListParagraph"/>
        <w:numPr>
          <w:ilvl w:val="0"/>
          <w:numId w:val="2"/>
        </w:numPr>
        <w:spacing w:line="259" w:lineRule="auto"/>
        <w:jc w:val="both"/>
      </w:pPr>
      <w:r>
        <w:t>Targeting bespoke support to schools with poor outcomes for disadvantaged children, government funded pupil premium strategy reviews for schools needing additional support</w:t>
      </w:r>
    </w:p>
    <w:p w14:paraId="5190A73A" w14:textId="77777777" w:rsidR="000F087E" w:rsidRDefault="000F087E" w:rsidP="000F087E">
      <w:pPr>
        <w:pStyle w:val="ListParagraph"/>
        <w:numPr>
          <w:ilvl w:val="0"/>
          <w:numId w:val="2"/>
        </w:numPr>
        <w:spacing w:line="259" w:lineRule="auto"/>
        <w:jc w:val="both"/>
      </w:pPr>
      <w:r>
        <w:t>Building better evidence of what works well when spending pupil premium funding</w:t>
      </w:r>
    </w:p>
    <w:p w14:paraId="356C4E30" w14:textId="77777777" w:rsidR="000F087E" w:rsidRDefault="000F087E" w:rsidP="000F087E">
      <w:pPr>
        <w:pStyle w:val="ListParagraph"/>
        <w:numPr>
          <w:ilvl w:val="0"/>
          <w:numId w:val="2"/>
        </w:numPr>
        <w:spacing w:line="259" w:lineRule="auto"/>
        <w:jc w:val="both"/>
      </w:pPr>
      <w:r>
        <w:t xml:space="preserve">Launch of Mission Northeast (focused on improving outcomes for white working-class children) and Mission Coastal (focused on outcomes in disadvantaged coastal communities).  Partnership boards will be established which ensure that the whole community takes shared responsibility for change </w:t>
      </w:r>
    </w:p>
    <w:p w14:paraId="1700536B" w14:textId="77777777" w:rsidR="000F087E" w:rsidRDefault="000F087E" w:rsidP="000F087E">
      <w:pPr>
        <w:pStyle w:val="ListParagraph"/>
        <w:numPr>
          <w:ilvl w:val="0"/>
          <w:numId w:val="2"/>
        </w:numPr>
        <w:spacing w:line="259" w:lineRule="auto"/>
        <w:jc w:val="both"/>
      </w:pPr>
      <w:r>
        <w:t>A consultation on changes to the school admissions code (later in the year) to promote fairness for all families, particularly the most disadvantaged and children with additional needs</w:t>
      </w:r>
    </w:p>
    <w:p w14:paraId="028CEA65" w14:textId="77777777" w:rsidR="000F087E" w:rsidRDefault="000F087E" w:rsidP="000F087E">
      <w:pPr>
        <w:pStyle w:val="ListParagraph"/>
        <w:numPr>
          <w:ilvl w:val="0"/>
          <w:numId w:val="2"/>
        </w:numPr>
        <w:spacing w:line="259" w:lineRule="auto"/>
        <w:jc w:val="both"/>
      </w:pPr>
      <w:r>
        <w:t>More information for parents about in-year decisions</w:t>
      </w:r>
    </w:p>
    <w:p w14:paraId="7308D2D8" w14:textId="77777777" w:rsidR="000F087E" w:rsidRDefault="000F087E" w:rsidP="000F087E">
      <w:pPr>
        <w:pStyle w:val="ListParagraph"/>
        <w:numPr>
          <w:ilvl w:val="0"/>
          <w:numId w:val="2"/>
        </w:numPr>
        <w:spacing w:line="259" w:lineRule="auto"/>
        <w:jc w:val="both"/>
      </w:pPr>
      <w:r>
        <w:t>Improvements to fair access protocols</w:t>
      </w:r>
    </w:p>
    <w:p w14:paraId="348DA47A" w14:textId="77777777" w:rsidR="000F087E" w:rsidRDefault="000F087E" w:rsidP="000F087E">
      <w:pPr>
        <w:pStyle w:val="ListParagraph"/>
        <w:numPr>
          <w:ilvl w:val="0"/>
          <w:numId w:val="2"/>
        </w:numPr>
        <w:spacing w:line="259" w:lineRule="auto"/>
        <w:jc w:val="both"/>
      </w:pPr>
      <w:r>
        <w:t xml:space="preserve">Making the operation of banding arrangements clearer </w:t>
      </w:r>
      <w:proofErr w:type="gramStart"/>
      <w:r>
        <w:t>in order to</w:t>
      </w:r>
      <w:proofErr w:type="gramEnd"/>
      <w:r>
        <w:t xml:space="preserve"> ensure that banding produces representative intakes</w:t>
      </w:r>
    </w:p>
    <w:p w14:paraId="38EBBE67" w14:textId="77777777" w:rsidR="000F087E" w:rsidRPr="00D87D8C" w:rsidRDefault="000F087E" w:rsidP="000F087E">
      <w:pPr>
        <w:jc w:val="both"/>
        <w:rPr>
          <w:i/>
          <w:iCs/>
        </w:rPr>
      </w:pPr>
      <w:r w:rsidRPr="00D87D8C">
        <w:rPr>
          <w:i/>
          <w:iCs/>
        </w:rPr>
        <w:t>“The School Admissions Code already provides tools to ensure schools can achieve representative intakes, particularly for applicants from a disadvantaged background, by, for example, enabling schools to prioritise children eligible for the pupil premium.  Organisations such as the Sutton Trust also provide support for schools that are keen to achieve more inclusive intakes.  We will develop new resources to support and encourage schools to adopt more inclusive admission arrangements, working with key partners and drawing in best practice from the sector”.</w:t>
      </w:r>
      <w:r w:rsidRPr="00D87D8C">
        <w:rPr>
          <w:rStyle w:val="FootnoteReference"/>
          <w:i/>
          <w:iCs/>
        </w:rPr>
        <w:footnoteReference w:id="4"/>
      </w:r>
    </w:p>
    <w:p w14:paraId="46F44657" w14:textId="77777777" w:rsidR="000F087E" w:rsidRDefault="000F087E" w:rsidP="000F087E">
      <w:pPr>
        <w:pStyle w:val="ListParagraph"/>
        <w:numPr>
          <w:ilvl w:val="0"/>
          <w:numId w:val="2"/>
        </w:numPr>
        <w:spacing w:line="259" w:lineRule="auto"/>
        <w:jc w:val="both"/>
      </w:pPr>
      <w:r>
        <w:lastRenderedPageBreak/>
        <w:t>Delivering inclusive mainstream education.  Five key principles: early, local, fair, effective, shared</w:t>
      </w:r>
    </w:p>
    <w:p w14:paraId="243B580A" w14:textId="77777777" w:rsidR="000F087E" w:rsidRPr="00D87D8C" w:rsidRDefault="000F087E" w:rsidP="000F087E">
      <w:pPr>
        <w:jc w:val="both"/>
        <w:rPr>
          <w:i/>
          <w:iCs/>
        </w:rPr>
      </w:pPr>
      <w:r>
        <w:rPr>
          <w:i/>
          <w:iCs/>
        </w:rPr>
        <w:t>“We are committed to creating a more inclusive mainstream school system where more children can be educated in a local mainstream school, as part of their local community, with flexible, timely and accessible support”.</w:t>
      </w:r>
      <w:r>
        <w:rPr>
          <w:rStyle w:val="FootnoteReference"/>
          <w:i/>
          <w:iCs/>
        </w:rPr>
        <w:footnoteReference w:id="5"/>
      </w:r>
    </w:p>
    <w:p w14:paraId="13AD48B5" w14:textId="77777777" w:rsidR="000F087E" w:rsidRDefault="000F087E" w:rsidP="000F087E">
      <w:pPr>
        <w:pStyle w:val="ListParagraph"/>
        <w:numPr>
          <w:ilvl w:val="0"/>
          <w:numId w:val="2"/>
        </w:numPr>
        <w:spacing w:line="259" w:lineRule="auto"/>
        <w:jc w:val="both"/>
      </w:pPr>
      <w:r>
        <w:t>£1.6bn over the next 3 years to make the mainstream system more inclusive</w:t>
      </w:r>
    </w:p>
    <w:p w14:paraId="79CB0FC2" w14:textId="77777777" w:rsidR="000F087E" w:rsidRDefault="000F087E" w:rsidP="000F087E">
      <w:pPr>
        <w:pStyle w:val="ListParagraph"/>
        <w:numPr>
          <w:ilvl w:val="0"/>
          <w:numId w:val="2"/>
        </w:numPr>
        <w:spacing w:line="259" w:lineRule="auto"/>
        <w:jc w:val="both"/>
      </w:pPr>
      <w:r>
        <w:t>Additional help will be provided across two additional layers of support - Targeted (including Targeted Plus) and Specialist.  Targeted will provide intervention in mainstream drawing on the Experts at Hand Service.  Specialist will provide a higher level of provision through new Specialist Provision Packages (developed by experts) which will form the basis of EHCPs.  Children in receipt of both Targeted and Specialist support will receive a digital individual support plan which will describe the child’s day to day provision and the support required and will in time be integrated with wider services.  Plans will be reviewed annually</w:t>
      </w:r>
    </w:p>
    <w:p w14:paraId="7E2874AB" w14:textId="77777777" w:rsidR="000F087E" w:rsidRDefault="000F087E" w:rsidP="000F087E">
      <w:pPr>
        <w:pStyle w:val="ListParagraph"/>
        <w:numPr>
          <w:ilvl w:val="0"/>
          <w:numId w:val="2"/>
        </w:numPr>
        <w:spacing w:line="259" w:lineRule="auto"/>
        <w:jc w:val="both"/>
      </w:pPr>
      <w:r>
        <w:t>Expanding access to multi-agency support in mainstream, £1.8bn over the next 3 years to support services to improve access to health professionals and develop the Experts at Hand Offer.  By 2028-29 the funding should mean a typical school will benefit from annual support which is equivalent to 40 days per average primary school and 160 days per average secondary school</w:t>
      </w:r>
    </w:p>
    <w:p w14:paraId="7110B33D" w14:textId="77777777" w:rsidR="000F087E" w:rsidRDefault="000F087E" w:rsidP="000F087E">
      <w:pPr>
        <w:pStyle w:val="ListParagraph"/>
        <w:numPr>
          <w:ilvl w:val="0"/>
          <w:numId w:val="2"/>
        </w:numPr>
        <w:spacing w:line="259" w:lineRule="auto"/>
        <w:jc w:val="both"/>
      </w:pPr>
      <w:r>
        <w:t>By 2028 investment of up to £15m to build the evidence base for and then provide National Inclusion Standards developed by an expert panel</w:t>
      </w:r>
    </w:p>
    <w:p w14:paraId="28B91363" w14:textId="77777777" w:rsidR="000F087E" w:rsidRDefault="000F087E" w:rsidP="000F087E">
      <w:pPr>
        <w:pStyle w:val="ListParagraph"/>
        <w:numPr>
          <w:ilvl w:val="0"/>
          <w:numId w:val="2"/>
        </w:numPr>
        <w:spacing w:line="259" w:lineRule="auto"/>
        <w:jc w:val="both"/>
      </w:pPr>
      <w:r>
        <w:t>Updated SEND Code of Practice to clarify the responsibilities of education settings and local partners</w:t>
      </w:r>
    </w:p>
    <w:p w14:paraId="5F2989EA" w14:textId="77777777" w:rsidR="000F087E" w:rsidRDefault="000F087E" w:rsidP="000F087E">
      <w:pPr>
        <w:pStyle w:val="ListParagraph"/>
        <w:numPr>
          <w:ilvl w:val="0"/>
          <w:numId w:val="2"/>
        </w:numPr>
        <w:spacing w:line="259" w:lineRule="auto"/>
        <w:jc w:val="both"/>
      </w:pPr>
      <w:r>
        <w:t>A new remit for the Children’s Commissioner to provide oversight and scrutiny of SEND reform implementation</w:t>
      </w:r>
    </w:p>
    <w:p w14:paraId="579CC4C0" w14:textId="77777777" w:rsidR="000F087E" w:rsidRDefault="000F087E" w:rsidP="000F087E">
      <w:pPr>
        <w:pStyle w:val="ListParagraph"/>
        <w:numPr>
          <w:ilvl w:val="0"/>
          <w:numId w:val="2"/>
        </w:numPr>
        <w:spacing w:line="259" w:lineRule="auto"/>
        <w:jc w:val="both"/>
      </w:pPr>
      <w:r>
        <w:t>£200m over three years to provide training to school staff on supporting children with SEND.  An updated SEND code of practice will set out a requirement for all schools to ensure that their staff receive training on SEND and inclusion</w:t>
      </w:r>
    </w:p>
    <w:p w14:paraId="3434E56C" w14:textId="77777777" w:rsidR="000F087E" w:rsidRDefault="000F087E" w:rsidP="000F087E">
      <w:pPr>
        <w:pStyle w:val="ListParagraph"/>
        <w:numPr>
          <w:ilvl w:val="0"/>
          <w:numId w:val="2"/>
        </w:numPr>
        <w:spacing w:line="259" w:lineRule="auto"/>
        <w:jc w:val="both"/>
      </w:pPr>
      <w:r>
        <w:t>Strengthened requirements for training providers to ensure early career teachers receive clear guidance on SEND</w:t>
      </w:r>
    </w:p>
    <w:p w14:paraId="6C523ABF" w14:textId="77777777" w:rsidR="000F087E" w:rsidRDefault="000F087E" w:rsidP="000F087E">
      <w:pPr>
        <w:pStyle w:val="ListParagraph"/>
        <w:numPr>
          <w:ilvl w:val="0"/>
          <w:numId w:val="2"/>
        </w:numPr>
        <w:spacing w:line="259" w:lineRule="auto"/>
        <w:jc w:val="both"/>
      </w:pPr>
      <w:r>
        <w:t>Doubling the number of EYITT places by 2028</w:t>
      </w:r>
    </w:p>
    <w:p w14:paraId="29A49B69" w14:textId="77777777" w:rsidR="000F087E" w:rsidRDefault="000F087E" w:rsidP="000F087E">
      <w:pPr>
        <w:pStyle w:val="ListParagraph"/>
        <w:numPr>
          <w:ilvl w:val="0"/>
          <w:numId w:val="2"/>
        </w:numPr>
        <w:spacing w:line="259" w:lineRule="auto"/>
        <w:jc w:val="both"/>
      </w:pPr>
      <w:r>
        <w:t>Support to use the expertise of SENCOs more effectively, a reduction in routine administration</w:t>
      </w:r>
    </w:p>
    <w:p w14:paraId="2AEAE5E2" w14:textId="77777777" w:rsidR="000F087E" w:rsidRDefault="000F087E" w:rsidP="000F087E">
      <w:pPr>
        <w:pStyle w:val="ListParagraph"/>
        <w:numPr>
          <w:ilvl w:val="0"/>
          <w:numId w:val="2"/>
        </w:numPr>
        <w:spacing w:line="259" w:lineRule="auto"/>
        <w:jc w:val="both"/>
      </w:pPr>
      <w:r>
        <w:t>£40m over 3 years to grow the educational psychology and speech and language therapy workforce</w:t>
      </w:r>
    </w:p>
    <w:p w14:paraId="1081E7AC" w14:textId="77777777" w:rsidR="000F087E" w:rsidRDefault="000F087E" w:rsidP="000F087E">
      <w:pPr>
        <w:pStyle w:val="ListParagraph"/>
        <w:numPr>
          <w:ilvl w:val="0"/>
          <w:numId w:val="2"/>
        </w:numPr>
        <w:spacing w:line="259" w:lineRule="auto"/>
        <w:jc w:val="both"/>
      </w:pPr>
      <w:r>
        <w:t>Reform the role of alternative provision, outreach into mainstream schools for preventative support and time-limited placements</w:t>
      </w:r>
    </w:p>
    <w:p w14:paraId="62A1596B" w14:textId="77777777" w:rsidR="000F087E" w:rsidRDefault="000F087E" w:rsidP="000F087E">
      <w:pPr>
        <w:pStyle w:val="ListParagraph"/>
        <w:numPr>
          <w:ilvl w:val="0"/>
          <w:numId w:val="2"/>
        </w:numPr>
        <w:spacing w:line="259" w:lineRule="auto"/>
        <w:jc w:val="both"/>
      </w:pPr>
      <w:r>
        <w:t xml:space="preserve">From 2026-27 onwards £1.6bn for a new Inclusive Mainstream Fund over 3 years with over £500m per year over the next 3 years to mainstream schools and other educational settings.  The funding will give schools and other education settings </w:t>
      </w:r>
      <w:r>
        <w:lastRenderedPageBreak/>
        <w:t>direct responsibility over funding to empower them to deliver for children with SEND</w:t>
      </w:r>
    </w:p>
    <w:p w14:paraId="62F056F4" w14:textId="77777777" w:rsidR="000F087E" w:rsidRDefault="000F087E" w:rsidP="000F087E">
      <w:pPr>
        <w:ind w:left="360"/>
        <w:jc w:val="both"/>
        <w:rPr>
          <w:i/>
          <w:iCs/>
        </w:rPr>
      </w:pPr>
      <w:r>
        <w:rPr>
          <w:i/>
          <w:iCs/>
        </w:rPr>
        <w:t>“Education leaders, governors, and trustees will be expected, and supported, to create the conditions needed for all children and young people to achieve and thrive”.</w:t>
      </w:r>
      <w:r>
        <w:rPr>
          <w:rStyle w:val="FootnoteReference"/>
          <w:i/>
          <w:iCs/>
        </w:rPr>
        <w:footnoteReference w:id="6"/>
      </w:r>
    </w:p>
    <w:p w14:paraId="3944BCDC" w14:textId="77777777" w:rsidR="000F087E" w:rsidRPr="009727AB" w:rsidRDefault="000F087E" w:rsidP="000F087E">
      <w:pPr>
        <w:pStyle w:val="ListParagraph"/>
        <w:numPr>
          <w:ilvl w:val="0"/>
          <w:numId w:val="8"/>
        </w:numPr>
        <w:spacing w:line="259" w:lineRule="auto"/>
        <w:jc w:val="both"/>
        <w:rPr>
          <w:i/>
          <w:iCs/>
        </w:rPr>
      </w:pPr>
      <w:r>
        <w:t>Schools will be required to publish an inclusion strategy outlining how resources are deployed to benefit children with SEND and they will be held accountable for how the funding is used</w:t>
      </w:r>
    </w:p>
    <w:p w14:paraId="1D0E252E" w14:textId="77777777" w:rsidR="000F087E" w:rsidRPr="009727AB" w:rsidRDefault="000F087E" w:rsidP="000F087E">
      <w:pPr>
        <w:pStyle w:val="ListParagraph"/>
        <w:numPr>
          <w:ilvl w:val="0"/>
          <w:numId w:val="8"/>
        </w:numPr>
        <w:spacing w:line="259" w:lineRule="auto"/>
        <w:jc w:val="both"/>
        <w:rPr>
          <w:i/>
          <w:iCs/>
        </w:rPr>
      </w:pPr>
      <w:r>
        <w:t>Every school should be part of a local grouping to work together on SEND.  In the long term all schools will be required to pool a minimum level of funding to support need fairly across their group (groups may be local groups of schools working together whilst all schools move into academy trusts)</w:t>
      </w:r>
    </w:p>
    <w:p w14:paraId="42B526B5" w14:textId="77777777" w:rsidR="000F087E" w:rsidRPr="009727AB" w:rsidRDefault="000F087E" w:rsidP="000F087E">
      <w:pPr>
        <w:pStyle w:val="ListParagraph"/>
        <w:numPr>
          <w:ilvl w:val="0"/>
          <w:numId w:val="8"/>
        </w:numPr>
        <w:spacing w:line="259" w:lineRule="auto"/>
        <w:jc w:val="both"/>
        <w:rPr>
          <w:i/>
          <w:iCs/>
        </w:rPr>
      </w:pPr>
      <w:r>
        <w:t>Local authorities to shape the formation of groupings in their areas and to have an oversight role</w:t>
      </w:r>
    </w:p>
    <w:p w14:paraId="3A9AD528" w14:textId="77777777" w:rsidR="000F087E" w:rsidRPr="009727AB" w:rsidRDefault="000F087E" w:rsidP="000F087E">
      <w:pPr>
        <w:pStyle w:val="ListParagraph"/>
        <w:numPr>
          <w:ilvl w:val="0"/>
          <w:numId w:val="8"/>
        </w:numPr>
        <w:spacing w:line="259" w:lineRule="auto"/>
        <w:jc w:val="both"/>
        <w:rPr>
          <w:i/>
          <w:iCs/>
        </w:rPr>
      </w:pPr>
      <w:r>
        <w:t>Transition to any new system will be carefully managed</w:t>
      </w:r>
    </w:p>
    <w:p w14:paraId="60F02C7B" w14:textId="77777777" w:rsidR="000F087E" w:rsidRPr="009727AB" w:rsidRDefault="000F087E" w:rsidP="000F087E">
      <w:pPr>
        <w:pStyle w:val="ListParagraph"/>
        <w:numPr>
          <w:ilvl w:val="0"/>
          <w:numId w:val="8"/>
        </w:numPr>
        <w:spacing w:line="259" w:lineRule="auto"/>
        <w:jc w:val="both"/>
        <w:rPr>
          <w:i/>
          <w:iCs/>
        </w:rPr>
      </w:pPr>
      <w:r>
        <w:t>The law on independent special schools will be changed to ensure that children get suitable high-quality placements and that local authorities pay a reasonable price for them</w:t>
      </w:r>
    </w:p>
    <w:p w14:paraId="78E7596D" w14:textId="77777777" w:rsidR="000F087E" w:rsidRPr="009727AB" w:rsidRDefault="000F087E" w:rsidP="000F087E">
      <w:pPr>
        <w:pStyle w:val="ListParagraph"/>
        <w:numPr>
          <w:ilvl w:val="0"/>
          <w:numId w:val="8"/>
        </w:numPr>
        <w:spacing w:line="259" w:lineRule="auto"/>
        <w:jc w:val="both"/>
        <w:rPr>
          <w:i/>
          <w:iCs/>
        </w:rPr>
      </w:pPr>
      <w:r>
        <w:t>10,000 more school and college places for children with SEND by investing £740m in 2025-26</w:t>
      </w:r>
    </w:p>
    <w:p w14:paraId="5E5E9645" w14:textId="77777777" w:rsidR="000F087E" w:rsidRDefault="000F087E" w:rsidP="000F087E">
      <w:pPr>
        <w:pStyle w:val="ListParagraph"/>
        <w:numPr>
          <w:ilvl w:val="0"/>
          <w:numId w:val="2"/>
        </w:numPr>
        <w:spacing w:line="259" w:lineRule="auto"/>
        <w:jc w:val="both"/>
      </w:pPr>
      <w:r>
        <w:t>£3bn over the next 4 years to create a further 50,000 new specialist places by making buildings more accessible and inclusive</w:t>
      </w:r>
    </w:p>
    <w:p w14:paraId="6DB7AFA7" w14:textId="77777777" w:rsidR="000F087E" w:rsidRDefault="000F087E" w:rsidP="000F087E">
      <w:pPr>
        <w:pStyle w:val="ListParagraph"/>
        <w:numPr>
          <w:ilvl w:val="0"/>
          <w:numId w:val="2"/>
        </w:numPr>
        <w:spacing w:line="259" w:lineRule="auto"/>
        <w:jc w:val="both"/>
      </w:pPr>
      <w:r>
        <w:t>The development of inclusion bases in mainstream schools.  Over time the expectation is that every secondary school will have an inclusion base</w:t>
      </w:r>
    </w:p>
    <w:p w14:paraId="3ADA8AA9" w14:textId="77777777" w:rsidR="000F087E" w:rsidRDefault="000F087E" w:rsidP="000F087E">
      <w:pPr>
        <w:pStyle w:val="ListParagraph"/>
        <w:numPr>
          <w:ilvl w:val="0"/>
          <w:numId w:val="2"/>
        </w:numPr>
        <w:spacing w:line="259" w:lineRule="auto"/>
        <w:jc w:val="both"/>
      </w:pPr>
      <w:r>
        <w:t>Ofsted will hold all settings to account for inclusion.</w:t>
      </w:r>
    </w:p>
    <w:p w14:paraId="2C8435FB" w14:textId="77777777" w:rsidR="000F087E" w:rsidRDefault="000F087E" w:rsidP="000F087E">
      <w:pPr>
        <w:jc w:val="both"/>
        <w:rPr>
          <w:b/>
          <w:bCs/>
        </w:rPr>
      </w:pPr>
    </w:p>
    <w:p w14:paraId="10D993F0" w14:textId="77777777" w:rsidR="000F087E" w:rsidRDefault="000F087E" w:rsidP="000F087E">
      <w:pPr>
        <w:jc w:val="both"/>
        <w:rPr>
          <w:b/>
          <w:bCs/>
        </w:rPr>
      </w:pPr>
    </w:p>
    <w:p w14:paraId="3E2F1B25" w14:textId="77777777" w:rsidR="000F087E" w:rsidRDefault="000F087E" w:rsidP="000F087E">
      <w:pPr>
        <w:jc w:val="both"/>
        <w:rPr>
          <w:b/>
          <w:bCs/>
        </w:rPr>
      </w:pPr>
    </w:p>
    <w:p w14:paraId="6C16CFA9" w14:textId="77777777" w:rsidR="000F087E" w:rsidRDefault="000F087E" w:rsidP="000F087E">
      <w:pPr>
        <w:jc w:val="both"/>
        <w:rPr>
          <w:b/>
          <w:bCs/>
        </w:rPr>
      </w:pPr>
    </w:p>
    <w:p w14:paraId="4B96AA80" w14:textId="77777777" w:rsidR="000F087E" w:rsidRDefault="000F087E" w:rsidP="000F087E">
      <w:pPr>
        <w:jc w:val="both"/>
        <w:rPr>
          <w:b/>
          <w:bCs/>
        </w:rPr>
      </w:pPr>
    </w:p>
    <w:p w14:paraId="24B9BAC0" w14:textId="77777777" w:rsidR="000F087E" w:rsidRDefault="000F087E" w:rsidP="000F087E">
      <w:pPr>
        <w:jc w:val="both"/>
        <w:rPr>
          <w:b/>
          <w:bCs/>
        </w:rPr>
      </w:pPr>
    </w:p>
    <w:p w14:paraId="5D07AD4F" w14:textId="77777777" w:rsidR="000F087E" w:rsidRDefault="000F087E" w:rsidP="000F087E">
      <w:pPr>
        <w:jc w:val="both"/>
        <w:rPr>
          <w:b/>
          <w:bCs/>
        </w:rPr>
      </w:pPr>
    </w:p>
    <w:p w14:paraId="661043C5" w14:textId="77777777" w:rsidR="000F087E" w:rsidRDefault="000F087E" w:rsidP="000F087E">
      <w:pPr>
        <w:jc w:val="both"/>
        <w:rPr>
          <w:b/>
          <w:bCs/>
        </w:rPr>
      </w:pPr>
    </w:p>
    <w:p w14:paraId="65943CEA" w14:textId="77777777" w:rsidR="000F087E" w:rsidRDefault="000F087E" w:rsidP="000F087E">
      <w:pPr>
        <w:jc w:val="both"/>
        <w:rPr>
          <w:b/>
          <w:bCs/>
        </w:rPr>
      </w:pPr>
    </w:p>
    <w:p w14:paraId="132AB904" w14:textId="77777777" w:rsidR="000F087E" w:rsidRDefault="000F087E" w:rsidP="000F087E">
      <w:pPr>
        <w:jc w:val="both"/>
        <w:rPr>
          <w:b/>
          <w:bCs/>
        </w:rPr>
      </w:pPr>
    </w:p>
    <w:p w14:paraId="6D064BEF" w14:textId="02F1D951" w:rsidR="000F087E" w:rsidRPr="00D70CF0" w:rsidRDefault="000F087E" w:rsidP="000F087E">
      <w:pPr>
        <w:jc w:val="both"/>
        <w:rPr>
          <w:b/>
          <w:bCs/>
        </w:rPr>
      </w:pPr>
      <w:r w:rsidRPr="00D70CF0">
        <w:rPr>
          <w:b/>
          <w:bCs/>
        </w:rPr>
        <w:lastRenderedPageBreak/>
        <w:t xml:space="preserve">Chapter 4: </w:t>
      </w:r>
      <w:r>
        <w:rPr>
          <w:b/>
          <w:bCs/>
        </w:rPr>
        <w:t>W</w:t>
      </w:r>
      <w:r w:rsidRPr="00D70CF0">
        <w:rPr>
          <w:b/>
          <w:bCs/>
        </w:rPr>
        <w:t xml:space="preserve">ithdrawn to </w:t>
      </w:r>
      <w:r>
        <w:rPr>
          <w:b/>
          <w:bCs/>
        </w:rPr>
        <w:t>E</w:t>
      </w:r>
      <w:r w:rsidRPr="00D70CF0">
        <w:rPr>
          <w:b/>
          <w:bCs/>
        </w:rPr>
        <w:t>ngaging</w:t>
      </w:r>
    </w:p>
    <w:p w14:paraId="259C0829" w14:textId="77777777" w:rsidR="000F087E" w:rsidRDefault="000F087E" w:rsidP="000F087E">
      <w:pPr>
        <w:pStyle w:val="ListParagraph"/>
        <w:numPr>
          <w:ilvl w:val="0"/>
          <w:numId w:val="3"/>
        </w:numPr>
        <w:spacing w:line="259" w:lineRule="auto"/>
        <w:jc w:val="both"/>
      </w:pPr>
      <w:r>
        <w:t>Pupil experiences in school report will be published annually</w:t>
      </w:r>
    </w:p>
    <w:p w14:paraId="6DF1DBF1" w14:textId="77777777" w:rsidR="000F087E" w:rsidRDefault="000F087E" w:rsidP="000F087E">
      <w:pPr>
        <w:pStyle w:val="ListParagraph"/>
        <w:numPr>
          <w:ilvl w:val="0"/>
          <w:numId w:val="3"/>
        </w:numPr>
        <w:spacing w:line="259" w:lineRule="auto"/>
        <w:jc w:val="both"/>
      </w:pPr>
      <w:r>
        <w:t>By 2029 every school will be expected to monitor pupils’ sense of belonging and engagement</w:t>
      </w:r>
    </w:p>
    <w:p w14:paraId="728F9E97" w14:textId="77777777" w:rsidR="000F087E" w:rsidRDefault="000F087E" w:rsidP="000F087E">
      <w:pPr>
        <w:pStyle w:val="ListParagraph"/>
        <w:numPr>
          <w:ilvl w:val="0"/>
          <w:numId w:val="3"/>
        </w:numPr>
        <w:spacing w:line="259" w:lineRule="auto"/>
        <w:jc w:val="both"/>
      </w:pPr>
      <w:r>
        <w:t>Publication of a new Pupil Engagement Framework later this year</w:t>
      </w:r>
    </w:p>
    <w:p w14:paraId="0AC3F262" w14:textId="77777777" w:rsidR="000F087E" w:rsidRDefault="000F087E" w:rsidP="000F087E">
      <w:pPr>
        <w:pStyle w:val="ListParagraph"/>
        <w:numPr>
          <w:ilvl w:val="0"/>
          <w:numId w:val="3"/>
        </w:numPr>
        <w:spacing w:line="259" w:lineRule="auto"/>
        <w:jc w:val="both"/>
      </w:pPr>
      <w:r>
        <w:t>Further research will be undertaken on the issue of racist abuse in schools</w:t>
      </w:r>
    </w:p>
    <w:p w14:paraId="1A363FE4" w14:textId="77777777" w:rsidR="000F087E" w:rsidRDefault="000F087E" w:rsidP="000F087E">
      <w:pPr>
        <w:pStyle w:val="ListParagraph"/>
        <w:numPr>
          <w:ilvl w:val="0"/>
          <w:numId w:val="3"/>
        </w:numPr>
        <w:spacing w:line="259" w:lineRule="auto"/>
        <w:jc w:val="both"/>
      </w:pPr>
      <w:r>
        <w:t>There will be an independent review to ensure all schools and colleges have the right systems and processes in place to identify and respond to antisemitism</w:t>
      </w:r>
    </w:p>
    <w:p w14:paraId="2E3DE0B3" w14:textId="77777777" w:rsidR="000F087E" w:rsidRDefault="000F087E" w:rsidP="000F087E">
      <w:pPr>
        <w:pStyle w:val="ListParagraph"/>
        <w:numPr>
          <w:ilvl w:val="0"/>
          <w:numId w:val="3"/>
        </w:numPr>
        <w:spacing w:line="259" w:lineRule="auto"/>
        <w:jc w:val="both"/>
      </w:pPr>
      <w:r>
        <w:t xml:space="preserve">Minimum expectations for home to school partnerships </w:t>
      </w:r>
      <w:proofErr w:type="gramStart"/>
      <w:r>
        <w:t>including:</w:t>
      </w:r>
      <w:proofErr w:type="gramEnd"/>
      <w:r>
        <w:t xml:space="preserve"> effective and timely school communication, establishing high expectations of families, supporting effective transitions, empowering families to support learning at home and creating a strong school culture</w:t>
      </w:r>
    </w:p>
    <w:p w14:paraId="16E208D3" w14:textId="77777777" w:rsidR="000F087E" w:rsidRDefault="000F087E" w:rsidP="000F087E">
      <w:pPr>
        <w:pStyle w:val="ListParagraph"/>
        <w:numPr>
          <w:ilvl w:val="0"/>
          <w:numId w:val="3"/>
        </w:numPr>
        <w:spacing w:line="259" w:lineRule="auto"/>
        <w:jc w:val="both"/>
      </w:pPr>
      <w:r>
        <w:t>New guidance on screen time for under 5s and guidance for parents of children aged 5 to 16</w:t>
      </w:r>
    </w:p>
    <w:p w14:paraId="7879394D" w14:textId="77777777" w:rsidR="000F087E" w:rsidRDefault="000F087E" w:rsidP="000F087E">
      <w:pPr>
        <w:pStyle w:val="ListParagraph"/>
        <w:numPr>
          <w:ilvl w:val="0"/>
          <w:numId w:val="3"/>
        </w:numPr>
        <w:spacing w:line="259" w:lineRule="auto"/>
        <w:jc w:val="both"/>
      </w:pPr>
      <w:r>
        <w:t>A new digital, accessible solution for handling complaints, to simplify the process, improve co-ordination between multiple bodies and stop complaints being escalated through multiple avenues in parallel and new mutual expectations for complaints handling</w:t>
      </w:r>
    </w:p>
    <w:p w14:paraId="5D983715" w14:textId="77777777" w:rsidR="000F087E" w:rsidRDefault="000F087E" w:rsidP="000F087E">
      <w:pPr>
        <w:pStyle w:val="ListParagraph"/>
        <w:numPr>
          <w:ilvl w:val="0"/>
          <w:numId w:val="3"/>
        </w:numPr>
        <w:spacing w:line="259" w:lineRule="auto"/>
        <w:jc w:val="both"/>
      </w:pPr>
      <w:r>
        <w:t>Work will be carried out to strengthen the independence of complaints panels including a consultation on a requirement for maintained schools to have an independent member on panels</w:t>
      </w:r>
    </w:p>
    <w:p w14:paraId="33860110" w14:textId="77777777" w:rsidR="000F087E" w:rsidRDefault="000F087E" w:rsidP="000F087E">
      <w:pPr>
        <w:pStyle w:val="ListParagraph"/>
        <w:numPr>
          <w:ilvl w:val="0"/>
          <w:numId w:val="3"/>
        </w:numPr>
        <w:spacing w:line="259" w:lineRule="auto"/>
        <w:jc w:val="both"/>
      </w:pPr>
      <w:r>
        <w:t>Introducing school profiles</w:t>
      </w:r>
    </w:p>
    <w:p w14:paraId="36E393E3" w14:textId="77777777" w:rsidR="000F087E" w:rsidRDefault="000F087E" w:rsidP="000F087E">
      <w:pPr>
        <w:pStyle w:val="ListParagraph"/>
        <w:numPr>
          <w:ilvl w:val="0"/>
          <w:numId w:val="3"/>
        </w:numPr>
        <w:spacing w:line="259" w:lineRule="auto"/>
        <w:jc w:val="both"/>
      </w:pPr>
      <w:r>
        <w:t xml:space="preserve">Supporting schools and wider services to improve attendance including through the 10-year health plan to reduce the amount of time children </w:t>
      </w:r>
      <w:proofErr w:type="gramStart"/>
      <w:r>
        <w:t>have to</w:t>
      </w:r>
      <w:proofErr w:type="gramEnd"/>
      <w:r>
        <w:t xml:space="preserve"> be taken out of school to attend medical appointments</w:t>
      </w:r>
    </w:p>
    <w:p w14:paraId="53AD3378" w14:textId="77777777" w:rsidR="000F087E" w:rsidRDefault="000F087E" w:rsidP="000F087E">
      <w:pPr>
        <w:pStyle w:val="ListParagraph"/>
        <w:numPr>
          <w:ilvl w:val="0"/>
          <w:numId w:val="3"/>
        </w:numPr>
        <w:spacing w:line="259" w:lineRule="auto"/>
        <w:jc w:val="both"/>
      </w:pPr>
      <w:r>
        <w:t>A new duty on councils to notify schools, health visitors and GPs that a child is in temporary accommodation, to improve partnership working and reduce the number of school days lost</w:t>
      </w:r>
    </w:p>
    <w:p w14:paraId="369C71CA" w14:textId="77777777" w:rsidR="000F087E" w:rsidRDefault="000F087E" w:rsidP="000F087E">
      <w:pPr>
        <w:pStyle w:val="ListParagraph"/>
        <w:numPr>
          <w:ilvl w:val="0"/>
          <w:numId w:val="3"/>
        </w:numPr>
        <w:spacing w:line="259" w:lineRule="auto"/>
        <w:jc w:val="both"/>
      </w:pPr>
      <w:r>
        <w:t>Roll out of RISE Attendance and Behaviour Hubs</w:t>
      </w:r>
    </w:p>
    <w:p w14:paraId="2AC61B24" w14:textId="77777777" w:rsidR="000F087E" w:rsidRDefault="000F087E" w:rsidP="000F087E">
      <w:pPr>
        <w:pStyle w:val="ListParagraph"/>
        <w:numPr>
          <w:ilvl w:val="0"/>
          <w:numId w:val="3"/>
        </w:numPr>
        <w:spacing w:line="259" w:lineRule="auto"/>
        <w:jc w:val="both"/>
      </w:pPr>
      <w:r>
        <w:t>£15m investment to provide 10,000 more persistently absent children with one-to-one support from a trained mentor</w:t>
      </w:r>
    </w:p>
    <w:p w14:paraId="0D0BF5DE" w14:textId="77777777" w:rsidR="000F087E" w:rsidRDefault="000F087E" w:rsidP="000F087E">
      <w:pPr>
        <w:pStyle w:val="ListParagraph"/>
        <w:numPr>
          <w:ilvl w:val="0"/>
          <w:numId w:val="3"/>
        </w:numPr>
        <w:spacing w:line="259" w:lineRule="auto"/>
        <w:jc w:val="both"/>
      </w:pPr>
      <w:r>
        <w:t>Equipping schools with tools and guidance to improve behaviour, including the introduction of Reintegration Support Partnerships following suspensions and a consultation on a duty to set schoolwork for excluded children</w:t>
      </w:r>
    </w:p>
    <w:p w14:paraId="1EE40B8F" w14:textId="77777777" w:rsidR="000F087E" w:rsidRDefault="000F087E" w:rsidP="000F087E">
      <w:pPr>
        <w:pStyle w:val="ListParagraph"/>
        <w:numPr>
          <w:ilvl w:val="0"/>
          <w:numId w:val="3"/>
        </w:numPr>
        <w:spacing w:line="259" w:lineRule="auto"/>
        <w:jc w:val="both"/>
      </w:pPr>
      <w:r>
        <w:t>Strengthening the scrutiny of all pupil movement including unacceptable off-rolling practice.</w:t>
      </w:r>
    </w:p>
    <w:p w14:paraId="09BA8A1E" w14:textId="77777777" w:rsidR="000F087E" w:rsidRDefault="000F087E" w:rsidP="000F087E">
      <w:pPr>
        <w:jc w:val="both"/>
        <w:rPr>
          <w:b/>
          <w:bCs/>
        </w:rPr>
      </w:pPr>
    </w:p>
    <w:p w14:paraId="5018CD4B" w14:textId="77777777" w:rsidR="000F087E" w:rsidRDefault="000F087E" w:rsidP="000F087E">
      <w:pPr>
        <w:jc w:val="both"/>
        <w:rPr>
          <w:b/>
          <w:bCs/>
        </w:rPr>
      </w:pPr>
    </w:p>
    <w:p w14:paraId="2FBE231E" w14:textId="77777777" w:rsidR="000F087E" w:rsidRDefault="000F087E" w:rsidP="000F087E">
      <w:pPr>
        <w:jc w:val="both"/>
        <w:rPr>
          <w:b/>
          <w:bCs/>
        </w:rPr>
      </w:pPr>
    </w:p>
    <w:p w14:paraId="7A9E4EBD" w14:textId="77777777" w:rsidR="000F087E" w:rsidRDefault="000F087E" w:rsidP="000F087E">
      <w:pPr>
        <w:jc w:val="both"/>
        <w:rPr>
          <w:b/>
          <w:bCs/>
        </w:rPr>
      </w:pPr>
    </w:p>
    <w:p w14:paraId="2D9C327C" w14:textId="2C56022D" w:rsidR="000F087E" w:rsidRDefault="000F087E" w:rsidP="000F087E">
      <w:pPr>
        <w:jc w:val="both"/>
        <w:rPr>
          <w:b/>
          <w:bCs/>
        </w:rPr>
      </w:pPr>
      <w:r>
        <w:rPr>
          <w:b/>
          <w:bCs/>
        </w:rPr>
        <w:lastRenderedPageBreak/>
        <w:t>Part 2: Stronger Foundations to Deliver Change</w:t>
      </w:r>
    </w:p>
    <w:p w14:paraId="5C49881A" w14:textId="77777777" w:rsidR="000F087E" w:rsidRDefault="000F087E" w:rsidP="000F087E">
      <w:pPr>
        <w:jc w:val="both"/>
        <w:rPr>
          <w:b/>
          <w:bCs/>
        </w:rPr>
      </w:pPr>
      <w:r w:rsidRPr="00D70CF0">
        <w:rPr>
          <w:b/>
          <w:bCs/>
        </w:rPr>
        <w:t xml:space="preserve">Chapter 5: </w:t>
      </w:r>
      <w:r>
        <w:rPr>
          <w:b/>
          <w:bCs/>
        </w:rPr>
        <w:t>S</w:t>
      </w:r>
      <w:r w:rsidRPr="00D70CF0">
        <w:rPr>
          <w:b/>
          <w:bCs/>
        </w:rPr>
        <w:t xml:space="preserve">upport and </w:t>
      </w:r>
      <w:r>
        <w:rPr>
          <w:b/>
          <w:bCs/>
        </w:rPr>
        <w:t>I</w:t>
      </w:r>
      <w:r w:rsidRPr="00D70CF0">
        <w:rPr>
          <w:b/>
          <w:bCs/>
        </w:rPr>
        <w:t xml:space="preserve">nvestment in </w:t>
      </w:r>
      <w:r>
        <w:rPr>
          <w:b/>
          <w:bCs/>
        </w:rPr>
        <w:t>Q</w:t>
      </w:r>
      <w:r w:rsidRPr="00D70CF0">
        <w:rPr>
          <w:b/>
          <w:bCs/>
        </w:rPr>
        <w:t xml:space="preserve">uality </w:t>
      </w:r>
      <w:r>
        <w:rPr>
          <w:b/>
          <w:bCs/>
        </w:rPr>
        <w:t>S</w:t>
      </w:r>
      <w:r w:rsidRPr="00D70CF0">
        <w:rPr>
          <w:b/>
          <w:bCs/>
        </w:rPr>
        <w:t>taff</w:t>
      </w:r>
    </w:p>
    <w:p w14:paraId="0BF72B1C" w14:textId="77777777" w:rsidR="000F087E" w:rsidRPr="00707F78" w:rsidRDefault="000F087E" w:rsidP="000F087E">
      <w:pPr>
        <w:jc w:val="both"/>
        <w:rPr>
          <w:i/>
          <w:iCs/>
        </w:rPr>
      </w:pPr>
      <w:r>
        <w:rPr>
          <w:i/>
          <w:iCs/>
        </w:rPr>
        <w:t>“We are also addressing the reasons why many leave the profession, including tacking workload pressures created by high rates of child poverty and a lack of services for children and families around schools……we will support, empower and invest in expert leaders, teachers and support staff in every school”.</w:t>
      </w:r>
      <w:r>
        <w:rPr>
          <w:rStyle w:val="FootnoteReference"/>
          <w:i/>
          <w:iCs/>
        </w:rPr>
        <w:footnoteReference w:id="7"/>
      </w:r>
    </w:p>
    <w:p w14:paraId="243D8699" w14:textId="77777777" w:rsidR="000F087E" w:rsidRDefault="000F087E" w:rsidP="000F087E">
      <w:pPr>
        <w:pStyle w:val="ListParagraph"/>
        <w:numPr>
          <w:ilvl w:val="0"/>
          <w:numId w:val="4"/>
        </w:numPr>
        <w:spacing w:line="259" w:lineRule="auto"/>
        <w:jc w:val="both"/>
      </w:pPr>
      <w:r>
        <w:t xml:space="preserve">6,500 more teachers.  More information is contained in the 6,500 </w:t>
      </w:r>
      <w:proofErr w:type="gramStart"/>
      <w:r>
        <w:t>teachers</w:t>
      </w:r>
      <w:proofErr w:type="gramEnd"/>
      <w:r>
        <w:t xml:space="preserve"> delivery plan the key themes of which are: attract, retain, develop</w:t>
      </w:r>
    </w:p>
    <w:p w14:paraId="6761629D" w14:textId="77777777" w:rsidR="000F087E" w:rsidRDefault="000F087E" w:rsidP="000F087E">
      <w:pPr>
        <w:pStyle w:val="ListParagraph"/>
        <w:numPr>
          <w:ilvl w:val="0"/>
          <w:numId w:val="4"/>
        </w:numPr>
        <w:spacing w:line="259" w:lineRule="auto"/>
        <w:jc w:val="both"/>
      </w:pPr>
      <w:r>
        <w:t>Work will continue to reform statutory pay and conditions for teachers and leaders and the ceiling on pay will be removed</w:t>
      </w:r>
    </w:p>
    <w:p w14:paraId="1E11025F" w14:textId="77777777" w:rsidR="000F087E" w:rsidRDefault="000F087E" w:rsidP="000F087E">
      <w:pPr>
        <w:pStyle w:val="ListParagraph"/>
        <w:numPr>
          <w:ilvl w:val="0"/>
          <w:numId w:val="4"/>
        </w:numPr>
        <w:spacing w:line="259" w:lineRule="auto"/>
        <w:jc w:val="both"/>
      </w:pPr>
      <w:r>
        <w:t>New teacher retention programme from Autumn 2026</w:t>
      </w:r>
    </w:p>
    <w:p w14:paraId="0D94A81E" w14:textId="77777777" w:rsidR="000F087E" w:rsidRDefault="000F087E" w:rsidP="000F087E">
      <w:pPr>
        <w:pStyle w:val="ListParagraph"/>
        <w:numPr>
          <w:ilvl w:val="0"/>
          <w:numId w:val="4"/>
        </w:numPr>
        <w:spacing w:line="259" w:lineRule="auto"/>
        <w:jc w:val="both"/>
      </w:pPr>
      <w:r>
        <w:t>Clear statements that abuse against teachers will not be tolerated and improved reporting of incidents</w:t>
      </w:r>
    </w:p>
    <w:p w14:paraId="1B0243D1" w14:textId="77777777" w:rsidR="000F087E" w:rsidRDefault="000F087E" w:rsidP="000F087E">
      <w:pPr>
        <w:pStyle w:val="ListParagraph"/>
        <w:numPr>
          <w:ilvl w:val="0"/>
          <w:numId w:val="4"/>
        </w:numPr>
        <w:spacing w:line="259" w:lineRule="auto"/>
        <w:jc w:val="both"/>
      </w:pPr>
      <w:r>
        <w:t>Help for teachers to harness AI</w:t>
      </w:r>
    </w:p>
    <w:p w14:paraId="40F07641" w14:textId="77777777" w:rsidR="000F087E" w:rsidRDefault="000F087E" w:rsidP="000F087E">
      <w:pPr>
        <w:pStyle w:val="ListParagraph"/>
        <w:numPr>
          <w:ilvl w:val="0"/>
          <w:numId w:val="4"/>
        </w:numPr>
        <w:spacing w:line="259" w:lineRule="auto"/>
        <w:jc w:val="both"/>
      </w:pPr>
      <w:r>
        <w:t>Funding schools to improve maternity pay, doubling the period of full pay from 4 weeks to 8 weeks from the 2027/28 academic year, funding will also be provided for support staff (through the SSSNB) and college staff</w:t>
      </w:r>
    </w:p>
    <w:p w14:paraId="63F56078" w14:textId="77777777" w:rsidR="000F087E" w:rsidRDefault="000F087E" w:rsidP="000F087E">
      <w:pPr>
        <w:pStyle w:val="ListParagraph"/>
        <w:numPr>
          <w:ilvl w:val="0"/>
          <w:numId w:val="4"/>
        </w:numPr>
        <w:spacing w:line="259" w:lineRule="auto"/>
        <w:jc w:val="both"/>
      </w:pPr>
      <w:r>
        <w:t>Funded flexible working programme</w:t>
      </w:r>
    </w:p>
    <w:p w14:paraId="5782D906" w14:textId="77777777" w:rsidR="000F087E" w:rsidRDefault="000F087E" w:rsidP="000F087E">
      <w:pPr>
        <w:pStyle w:val="ListParagraph"/>
        <w:numPr>
          <w:ilvl w:val="0"/>
          <w:numId w:val="4"/>
        </w:numPr>
        <w:spacing w:line="259" w:lineRule="auto"/>
        <w:jc w:val="both"/>
      </w:pPr>
      <w:r>
        <w:t>Launch of the SSSNB</w:t>
      </w:r>
    </w:p>
    <w:p w14:paraId="51CC9791" w14:textId="77777777" w:rsidR="000F087E" w:rsidRDefault="000F087E" w:rsidP="000F087E">
      <w:pPr>
        <w:pStyle w:val="ListParagraph"/>
        <w:numPr>
          <w:ilvl w:val="0"/>
          <w:numId w:val="4"/>
        </w:numPr>
        <w:spacing w:line="259" w:lineRule="auto"/>
        <w:jc w:val="both"/>
      </w:pPr>
      <w:r>
        <w:t>Expansion of training and development opportunities for school business professionals</w:t>
      </w:r>
    </w:p>
    <w:p w14:paraId="30DF6E18" w14:textId="77777777" w:rsidR="000F087E" w:rsidRDefault="000F087E" w:rsidP="000F087E">
      <w:pPr>
        <w:pStyle w:val="ListParagraph"/>
        <w:numPr>
          <w:ilvl w:val="0"/>
          <w:numId w:val="4"/>
        </w:numPr>
        <w:spacing w:line="259" w:lineRule="auto"/>
        <w:jc w:val="both"/>
      </w:pPr>
      <w:r>
        <w:t>Improvements to professional development for staff at all points in their career, including the new Teacher Training Entitlement</w:t>
      </w:r>
    </w:p>
    <w:p w14:paraId="068F4F16" w14:textId="77777777" w:rsidR="000F087E" w:rsidRDefault="000F087E" w:rsidP="000F087E">
      <w:pPr>
        <w:pStyle w:val="ListParagraph"/>
        <w:numPr>
          <w:ilvl w:val="0"/>
          <w:numId w:val="4"/>
        </w:numPr>
        <w:spacing w:line="259" w:lineRule="auto"/>
        <w:jc w:val="both"/>
      </w:pPr>
      <w:r>
        <w:t>An expert teacher for every child – ensuring that new teachers have or are working towards achieving QTS</w:t>
      </w:r>
    </w:p>
    <w:p w14:paraId="42D9B398" w14:textId="77777777" w:rsidR="000F087E" w:rsidRDefault="000F087E" w:rsidP="000F087E">
      <w:pPr>
        <w:pStyle w:val="ListParagraph"/>
        <w:numPr>
          <w:ilvl w:val="0"/>
          <w:numId w:val="4"/>
        </w:numPr>
        <w:spacing w:line="259" w:lineRule="auto"/>
        <w:jc w:val="both"/>
      </w:pPr>
      <w:r>
        <w:t>Supporting excellence in leadership – mentoring and coaching offer for heads and a new Headteacher Retention Incentive in challenging areas</w:t>
      </w:r>
    </w:p>
    <w:p w14:paraId="34CB9554" w14:textId="77777777" w:rsidR="000F087E" w:rsidRDefault="000F087E" w:rsidP="000F087E">
      <w:pPr>
        <w:pStyle w:val="ListParagraph"/>
        <w:numPr>
          <w:ilvl w:val="0"/>
          <w:numId w:val="4"/>
        </w:numPr>
        <w:spacing w:line="259" w:lineRule="auto"/>
        <w:jc w:val="both"/>
      </w:pPr>
      <w:r>
        <w:t>Investing £1m additional funding each year for wellbeing support for up to 2,500 leaders</w:t>
      </w:r>
    </w:p>
    <w:p w14:paraId="012C7975" w14:textId="77777777" w:rsidR="000F087E" w:rsidRDefault="000F087E" w:rsidP="000F087E">
      <w:pPr>
        <w:pStyle w:val="ListParagraph"/>
        <w:numPr>
          <w:ilvl w:val="0"/>
          <w:numId w:val="4"/>
        </w:numPr>
        <w:spacing w:line="259" w:lineRule="auto"/>
        <w:jc w:val="both"/>
      </w:pPr>
      <w:r>
        <w:t>Working in partnership with the IET</w:t>
      </w:r>
    </w:p>
    <w:p w14:paraId="223C2AFD" w14:textId="77777777" w:rsidR="000F087E" w:rsidRDefault="000F087E" w:rsidP="000F087E">
      <w:pPr>
        <w:pStyle w:val="ListParagraph"/>
        <w:numPr>
          <w:ilvl w:val="0"/>
          <w:numId w:val="4"/>
        </w:numPr>
        <w:spacing w:line="259" w:lineRule="auto"/>
        <w:jc w:val="both"/>
      </w:pPr>
      <w:r>
        <w:t>Review of the headteachers’ standards</w:t>
      </w:r>
    </w:p>
    <w:p w14:paraId="7949E933" w14:textId="77777777" w:rsidR="000F087E" w:rsidRDefault="000F087E" w:rsidP="000F087E">
      <w:pPr>
        <w:pStyle w:val="ListParagraph"/>
        <w:numPr>
          <w:ilvl w:val="0"/>
          <w:numId w:val="4"/>
        </w:numPr>
        <w:spacing w:line="259" w:lineRule="auto"/>
        <w:jc w:val="both"/>
      </w:pPr>
      <w:r>
        <w:t xml:space="preserve">Maximising value for </w:t>
      </w:r>
      <w:proofErr w:type="gramStart"/>
      <w:r>
        <w:t>pupils</w:t>
      </w:r>
      <w:proofErr w:type="gramEnd"/>
      <w:r>
        <w:t xml:space="preserve"> programme and making it easier to find deals on commercial needs</w:t>
      </w:r>
    </w:p>
    <w:p w14:paraId="23844533" w14:textId="77777777" w:rsidR="000F087E" w:rsidRDefault="000F087E" w:rsidP="000F087E">
      <w:pPr>
        <w:pStyle w:val="ListParagraph"/>
        <w:numPr>
          <w:ilvl w:val="0"/>
          <w:numId w:val="4"/>
        </w:numPr>
        <w:spacing w:line="259" w:lineRule="auto"/>
        <w:jc w:val="both"/>
      </w:pPr>
      <w:r>
        <w:t>Schools will be expected to use the government’s new agency supply deal unless they are able to achieve better value for money elsewhere</w:t>
      </w:r>
    </w:p>
    <w:p w14:paraId="245F748B" w14:textId="77777777" w:rsidR="000F087E" w:rsidRDefault="000F087E" w:rsidP="000F087E">
      <w:pPr>
        <w:pStyle w:val="ListParagraph"/>
        <w:numPr>
          <w:ilvl w:val="0"/>
          <w:numId w:val="4"/>
        </w:numPr>
        <w:spacing w:line="259" w:lineRule="auto"/>
        <w:jc w:val="both"/>
      </w:pPr>
      <w:r>
        <w:t>The provision of long-term maintenance budgets and increased capital funding</w:t>
      </w:r>
    </w:p>
    <w:p w14:paraId="7D06C91E" w14:textId="77777777" w:rsidR="000F087E" w:rsidRDefault="000F087E" w:rsidP="000F087E">
      <w:pPr>
        <w:pStyle w:val="ListParagraph"/>
        <w:numPr>
          <w:ilvl w:val="0"/>
          <w:numId w:val="4"/>
        </w:numPr>
        <w:spacing w:line="259" w:lineRule="auto"/>
        <w:jc w:val="both"/>
      </w:pPr>
      <w:r>
        <w:t>Streamline and improve useability of guidance for schools.</w:t>
      </w:r>
    </w:p>
    <w:p w14:paraId="6FF97D97" w14:textId="77777777" w:rsidR="000F087E" w:rsidRDefault="000F087E" w:rsidP="000F087E">
      <w:pPr>
        <w:jc w:val="both"/>
        <w:rPr>
          <w:b/>
          <w:bCs/>
        </w:rPr>
      </w:pPr>
    </w:p>
    <w:p w14:paraId="085E6ED3" w14:textId="263F930F" w:rsidR="000F087E" w:rsidRDefault="000F087E" w:rsidP="000F087E">
      <w:pPr>
        <w:jc w:val="both"/>
        <w:rPr>
          <w:b/>
          <w:bCs/>
        </w:rPr>
      </w:pPr>
      <w:r w:rsidRPr="00D70CF0">
        <w:rPr>
          <w:b/>
          <w:bCs/>
        </w:rPr>
        <w:lastRenderedPageBreak/>
        <w:t xml:space="preserve">Chapter 6: </w:t>
      </w:r>
      <w:r>
        <w:rPr>
          <w:b/>
          <w:bCs/>
        </w:rPr>
        <w:t>C</w:t>
      </w:r>
      <w:r w:rsidRPr="00D70CF0">
        <w:rPr>
          <w:b/>
          <w:bCs/>
        </w:rPr>
        <w:t xml:space="preserve">ollaboration </w:t>
      </w:r>
      <w:r>
        <w:rPr>
          <w:b/>
          <w:bCs/>
        </w:rPr>
        <w:t>B</w:t>
      </w:r>
      <w:r w:rsidRPr="00D70CF0">
        <w:rPr>
          <w:b/>
          <w:bCs/>
        </w:rPr>
        <w:t xml:space="preserve">etween </w:t>
      </w:r>
      <w:r>
        <w:rPr>
          <w:b/>
          <w:bCs/>
        </w:rPr>
        <w:t>S</w:t>
      </w:r>
      <w:r w:rsidRPr="00D70CF0">
        <w:rPr>
          <w:b/>
          <w:bCs/>
        </w:rPr>
        <w:t xml:space="preserve">chools and </w:t>
      </w:r>
      <w:r>
        <w:rPr>
          <w:b/>
          <w:bCs/>
        </w:rPr>
        <w:t>W</w:t>
      </w:r>
      <w:r w:rsidRPr="00D70CF0">
        <w:rPr>
          <w:b/>
          <w:bCs/>
        </w:rPr>
        <w:t xml:space="preserve">ith </w:t>
      </w:r>
      <w:r>
        <w:rPr>
          <w:b/>
          <w:bCs/>
        </w:rPr>
        <w:t>O</w:t>
      </w:r>
      <w:r w:rsidRPr="00D70CF0">
        <w:rPr>
          <w:b/>
          <w:bCs/>
        </w:rPr>
        <w:t xml:space="preserve">ther </w:t>
      </w:r>
      <w:r>
        <w:rPr>
          <w:b/>
          <w:bCs/>
        </w:rPr>
        <w:t>P</w:t>
      </w:r>
      <w:r w:rsidRPr="00D70CF0">
        <w:rPr>
          <w:b/>
          <w:bCs/>
        </w:rPr>
        <w:t>artners</w:t>
      </w:r>
    </w:p>
    <w:p w14:paraId="29CE4FEC" w14:textId="77777777" w:rsidR="000F087E" w:rsidRPr="00592358" w:rsidRDefault="000F087E" w:rsidP="000F087E">
      <w:pPr>
        <w:jc w:val="both"/>
        <w:rPr>
          <w:i/>
          <w:iCs/>
        </w:rPr>
      </w:pPr>
      <w:r>
        <w:rPr>
          <w:i/>
          <w:iCs/>
        </w:rPr>
        <w:t>“</w:t>
      </w:r>
      <w:r w:rsidRPr="00592358">
        <w:rPr>
          <w:i/>
          <w:iCs/>
        </w:rPr>
        <w:t>Our best school trusts illustrate the transformational potential of schools working together for children. By sharing resources and best practice, and through strong governance, they have shown that they are more resilient, can meet children’s needs and deliver the highest quality education in partnership. We will put collaboration at the heart of the system by moving to all schools joining or forming high-quality school trusts, including enabling new local authority established trusts. This is an opportunity for schools to come together in new partnerships to take on challenges and bring further innovation to the system.</w:t>
      </w:r>
      <w:r>
        <w:rPr>
          <w:i/>
          <w:iCs/>
        </w:rPr>
        <w:t>”</w:t>
      </w:r>
      <w:r>
        <w:rPr>
          <w:rStyle w:val="FootnoteReference"/>
          <w:i/>
          <w:iCs/>
        </w:rPr>
        <w:footnoteReference w:id="8"/>
      </w:r>
    </w:p>
    <w:p w14:paraId="6ADCDE35" w14:textId="77777777" w:rsidR="000F087E" w:rsidRDefault="000F087E" w:rsidP="000F087E">
      <w:pPr>
        <w:pStyle w:val="ListParagraph"/>
        <w:numPr>
          <w:ilvl w:val="0"/>
          <w:numId w:val="5"/>
        </w:numPr>
        <w:spacing w:line="259" w:lineRule="auto"/>
        <w:jc w:val="both"/>
      </w:pPr>
      <w:r>
        <w:t>Strengthening and clarifying how local authorities and school trusts should work together</w:t>
      </w:r>
    </w:p>
    <w:p w14:paraId="3645906A" w14:textId="77777777" w:rsidR="000F087E" w:rsidRPr="003323C9" w:rsidRDefault="000F087E" w:rsidP="000F087E">
      <w:pPr>
        <w:jc w:val="both"/>
        <w:rPr>
          <w:i/>
          <w:iCs/>
        </w:rPr>
      </w:pPr>
      <w:r w:rsidRPr="003323C9">
        <w:rPr>
          <w:i/>
          <w:iCs/>
        </w:rPr>
        <w:t>“We will put collaboration at the heart of the system by moving to all schools joining of forming high-quality school trusts”</w:t>
      </w:r>
      <w:r>
        <w:rPr>
          <w:i/>
          <w:iCs/>
        </w:rPr>
        <w:t>.</w:t>
      </w:r>
      <w:r>
        <w:rPr>
          <w:rStyle w:val="FootnoteReference"/>
          <w:i/>
          <w:iCs/>
        </w:rPr>
        <w:footnoteReference w:id="9"/>
      </w:r>
    </w:p>
    <w:p w14:paraId="25C20169" w14:textId="77777777" w:rsidR="000F087E" w:rsidRDefault="000F087E" w:rsidP="000F087E">
      <w:pPr>
        <w:pStyle w:val="ListParagraph"/>
        <w:numPr>
          <w:ilvl w:val="0"/>
          <w:numId w:val="5"/>
        </w:numPr>
        <w:spacing w:line="259" w:lineRule="auto"/>
        <w:jc w:val="both"/>
      </w:pPr>
      <w:r>
        <w:t>Prioritising quality over pace</w:t>
      </w:r>
    </w:p>
    <w:p w14:paraId="1EBCD6E3" w14:textId="77777777" w:rsidR="000F087E" w:rsidRDefault="000F087E" w:rsidP="000F087E">
      <w:pPr>
        <w:jc w:val="both"/>
        <w:rPr>
          <w:i/>
          <w:iCs/>
        </w:rPr>
      </w:pPr>
      <w:r>
        <w:rPr>
          <w:i/>
          <w:iCs/>
        </w:rPr>
        <w:t>“</w:t>
      </w:r>
      <w:r w:rsidRPr="003323C9">
        <w:rPr>
          <w:i/>
          <w:iCs/>
        </w:rPr>
        <w:t>We will work with the sector, prioritising quality over pace, to deliver a system truly built for all children. We know each area has a different school landscape and all local partners (local authorities, religious bodies, schools and trusts) need to work together to build the school landscape that is right for their area.</w:t>
      </w:r>
      <w:r>
        <w:rPr>
          <w:i/>
          <w:iCs/>
        </w:rPr>
        <w:t>”</w:t>
      </w:r>
      <w:r>
        <w:rPr>
          <w:rStyle w:val="FootnoteReference"/>
          <w:i/>
          <w:iCs/>
        </w:rPr>
        <w:footnoteReference w:id="10"/>
      </w:r>
    </w:p>
    <w:p w14:paraId="4D8C8FB7" w14:textId="77777777" w:rsidR="000F087E" w:rsidRPr="003323C9" w:rsidRDefault="000F087E" w:rsidP="000F087E">
      <w:pPr>
        <w:jc w:val="both"/>
        <w:rPr>
          <w:i/>
          <w:iCs/>
        </w:rPr>
      </w:pPr>
      <w:r>
        <w:rPr>
          <w:i/>
          <w:iCs/>
        </w:rPr>
        <w:t>“</w:t>
      </w:r>
      <w:r w:rsidRPr="003323C9">
        <w:rPr>
          <w:i/>
          <w:iCs/>
        </w:rPr>
        <w:t>High-quality trusts must be rooted in their communities to play their part as civic institutions. We will expect all school trusts to look outwards with purpose, to share expertise, and support others to improve. This includes embedding collaboration into the standards we require of trusts, with a pillar focused on community collaboration in the new Trust Standards (covered further below). We will encourage school trusts to report on how they have supported stronger outcomes in their community role through annual public benefit reporting. Once established, we will hold school trusts to account for this role through trust inspection.</w:t>
      </w:r>
      <w:r>
        <w:rPr>
          <w:i/>
          <w:iCs/>
        </w:rPr>
        <w:t>”</w:t>
      </w:r>
      <w:r>
        <w:rPr>
          <w:rStyle w:val="FootnoteReference"/>
          <w:i/>
          <w:iCs/>
        </w:rPr>
        <w:footnoteReference w:id="11"/>
      </w:r>
    </w:p>
    <w:p w14:paraId="247243BD" w14:textId="77777777" w:rsidR="000F087E" w:rsidRDefault="000F087E" w:rsidP="000F087E">
      <w:pPr>
        <w:pStyle w:val="ListParagraph"/>
        <w:numPr>
          <w:ilvl w:val="0"/>
          <w:numId w:val="5"/>
        </w:numPr>
        <w:spacing w:line="259" w:lineRule="auto"/>
        <w:jc w:val="both"/>
      </w:pPr>
      <w:r>
        <w:t>Consultation on requiring school trusts to have local governance structures that hold annual parental forums</w:t>
      </w:r>
    </w:p>
    <w:p w14:paraId="4E9D5E7C" w14:textId="77777777" w:rsidR="000F087E" w:rsidRDefault="000F087E" w:rsidP="000F087E">
      <w:pPr>
        <w:pStyle w:val="ListParagraph"/>
        <w:numPr>
          <w:ilvl w:val="0"/>
          <w:numId w:val="5"/>
        </w:numPr>
        <w:spacing w:line="259" w:lineRule="auto"/>
        <w:jc w:val="both"/>
      </w:pPr>
      <w:r>
        <w:t>Co-operative model articles will be updated</w:t>
      </w:r>
    </w:p>
    <w:p w14:paraId="063E9710" w14:textId="77777777" w:rsidR="000F087E" w:rsidRDefault="000F087E" w:rsidP="000F087E">
      <w:pPr>
        <w:pStyle w:val="ListParagraph"/>
        <w:numPr>
          <w:ilvl w:val="0"/>
          <w:numId w:val="5"/>
        </w:numPr>
        <w:spacing w:line="259" w:lineRule="auto"/>
        <w:jc w:val="both"/>
      </w:pPr>
      <w:r>
        <w:t>Ensuring proportionate independent inspection of trust quality.  Overhaul of the trust quality descriptors to the trust quality standards.  New powers of intervention where needed</w:t>
      </w:r>
    </w:p>
    <w:p w14:paraId="2A35F663" w14:textId="77777777" w:rsidR="000F087E" w:rsidRPr="003323C9" w:rsidRDefault="000F087E" w:rsidP="000F087E">
      <w:pPr>
        <w:jc w:val="both"/>
        <w:rPr>
          <w:i/>
          <w:iCs/>
        </w:rPr>
      </w:pPr>
      <w:r w:rsidRPr="003323C9">
        <w:rPr>
          <w:i/>
          <w:iCs/>
        </w:rPr>
        <w:lastRenderedPageBreak/>
        <w:t>“The focus of inspection will be on assessing quality, rather than checking for compliance and it will consider the efficacy of a trust’s activity, rather than prescribing particular approaches”.</w:t>
      </w:r>
      <w:r>
        <w:rPr>
          <w:rStyle w:val="FootnoteReference"/>
          <w:i/>
          <w:iCs/>
        </w:rPr>
        <w:footnoteReference w:id="12"/>
      </w:r>
    </w:p>
    <w:p w14:paraId="733A08EE" w14:textId="77777777" w:rsidR="000F087E" w:rsidRDefault="000F087E" w:rsidP="000F087E">
      <w:pPr>
        <w:pStyle w:val="ListParagraph"/>
        <w:numPr>
          <w:ilvl w:val="0"/>
          <w:numId w:val="5"/>
        </w:numPr>
        <w:spacing w:line="259" w:lineRule="auto"/>
        <w:jc w:val="both"/>
      </w:pPr>
      <w:r>
        <w:t>When trust inspection is established, the aim is that the burden of school-level inspection will be reduced</w:t>
      </w:r>
    </w:p>
    <w:p w14:paraId="147591EB" w14:textId="77777777" w:rsidR="000F087E" w:rsidRDefault="000F087E" w:rsidP="000F087E">
      <w:pPr>
        <w:pStyle w:val="ListParagraph"/>
        <w:numPr>
          <w:ilvl w:val="0"/>
          <w:numId w:val="5"/>
        </w:numPr>
        <w:spacing w:line="259" w:lineRule="auto"/>
        <w:jc w:val="both"/>
      </w:pPr>
      <w:r>
        <w:t>There will be intervention where the standards are not met</w:t>
      </w:r>
    </w:p>
    <w:p w14:paraId="7D6B96CB" w14:textId="77777777" w:rsidR="000F087E" w:rsidRDefault="000F087E" w:rsidP="000F087E">
      <w:pPr>
        <w:pStyle w:val="ListParagraph"/>
        <w:numPr>
          <w:ilvl w:val="0"/>
          <w:numId w:val="5"/>
        </w:numPr>
        <w:spacing w:line="259" w:lineRule="auto"/>
        <w:jc w:val="both"/>
      </w:pPr>
      <w:r>
        <w:t>Improved arrangements for transparency where resources are pooled</w:t>
      </w:r>
    </w:p>
    <w:p w14:paraId="2384F351" w14:textId="77777777" w:rsidR="000F087E" w:rsidRPr="00E46FB4" w:rsidRDefault="000F087E" w:rsidP="000F087E">
      <w:pPr>
        <w:jc w:val="both"/>
        <w:rPr>
          <w:i/>
          <w:iCs/>
        </w:rPr>
      </w:pPr>
      <w:r w:rsidRPr="00E46FB4">
        <w:rPr>
          <w:i/>
          <w:iCs/>
        </w:rPr>
        <w:t>“We are also clear that the pay of trust chief executives must be justifiable, transparent, evidence-based and reflect individual responsibility. Trustees should adhere to these principles in setting pay, supported by our guidance and advice. However, in some cases, their decisions have led to the agreement of high salaries, compared to peers. We will tighten the academy trust handbook by requiring executive pay increases to be proportionate and justified, to prevent excessive increases for individuals carrying out broadly similar roles”.</w:t>
      </w:r>
      <w:r>
        <w:rPr>
          <w:rStyle w:val="FootnoteReference"/>
          <w:i/>
          <w:iCs/>
        </w:rPr>
        <w:footnoteReference w:id="13"/>
      </w:r>
    </w:p>
    <w:p w14:paraId="3E7730C9" w14:textId="77777777" w:rsidR="000F087E" w:rsidRDefault="000F087E" w:rsidP="000F087E">
      <w:pPr>
        <w:pStyle w:val="ListParagraph"/>
        <w:numPr>
          <w:ilvl w:val="0"/>
          <w:numId w:val="5"/>
        </w:numPr>
        <w:spacing w:line="259" w:lineRule="auto"/>
        <w:jc w:val="both"/>
      </w:pPr>
      <w:r>
        <w:t>Setting out clear roles and responsibilities for local government.</w:t>
      </w:r>
    </w:p>
    <w:p w14:paraId="7D9757FF" w14:textId="77777777" w:rsidR="000F087E" w:rsidRDefault="000F087E" w:rsidP="000F087E">
      <w:pPr>
        <w:jc w:val="both"/>
        <w:rPr>
          <w:b/>
          <w:bCs/>
        </w:rPr>
      </w:pPr>
    </w:p>
    <w:p w14:paraId="3217CEB1" w14:textId="77777777" w:rsidR="000F087E" w:rsidRDefault="000F087E" w:rsidP="000F087E">
      <w:pPr>
        <w:jc w:val="both"/>
        <w:rPr>
          <w:b/>
          <w:bCs/>
        </w:rPr>
      </w:pPr>
    </w:p>
    <w:p w14:paraId="56613C48" w14:textId="77777777" w:rsidR="000F087E" w:rsidRDefault="000F087E" w:rsidP="000F087E">
      <w:pPr>
        <w:jc w:val="both"/>
        <w:rPr>
          <w:b/>
          <w:bCs/>
        </w:rPr>
      </w:pPr>
    </w:p>
    <w:p w14:paraId="1BC00510" w14:textId="77777777" w:rsidR="000F087E" w:rsidRDefault="000F087E" w:rsidP="000F087E">
      <w:pPr>
        <w:jc w:val="both"/>
        <w:rPr>
          <w:b/>
          <w:bCs/>
        </w:rPr>
      </w:pPr>
    </w:p>
    <w:p w14:paraId="79D25B9B" w14:textId="77777777" w:rsidR="000F087E" w:rsidRDefault="000F087E" w:rsidP="000F087E">
      <w:pPr>
        <w:jc w:val="both"/>
        <w:rPr>
          <w:b/>
          <w:bCs/>
        </w:rPr>
      </w:pPr>
    </w:p>
    <w:p w14:paraId="303558A7" w14:textId="77777777" w:rsidR="000F087E" w:rsidRDefault="000F087E" w:rsidP="000F087E">
      <w:pPr>
        <w:jc w:val="both"/>
        <w:rPr>
          <w:b/>
          <w:bCs/>
        </w:rPr>
      </w:pPr>
    </w:p>
    <w:p w14:paraId="7706128C" w14:textId="77777777" w:rsidR="000F087E" w:rsidRDefault="000F087E" w:rsidP="000F087E">
      <w:pPr>
        <w:jc w:val="both"/>
        <w:rPr>
          <w:b/>
          <w:bCs/>
        </w:rPr>
      </w:pPr>
    </w:p>
    <w:p w14:paraId="5E306E90" w14:textId="77777777" w:rsidR="000F087E" w:rsidRDefault="000F087E" w:rsidP="000F087E">
      <w:pPr>
        <w:jc w:val="both"/>
        <w:rPr>
          <w:b/>
          <w:bCs/>
        </w:rPr>
      </w:pPr>
    </w:p>
    <w:p w14:paraId="5A5B9B62" w14:textId="77777777" w:rsidR="000F087E" w:rsidRDefault="000F087E" w:rsidP="000F087E">
      <w:pPr>
        <w:jc w:val="both"/>
        <w:rPr>
          <w:b/>
          <w:bCs/>
        </w:rPr>
      </w:pPr>
    </w:p>
    <w:p w14:paraId="4282B338" w14:textId="77777777" w:rsidR="000F087E" w:rsidRDefault="000F087E" w:rsidP="000F087E">
      <w:pPr>
        <w:jc w:val="both"/>
        <w:rPr>
          <w:b/>
          <w:bCs/>
        </w:rPr>
      </w:pPr>
    </w:p>
    <w:p w14:paraId="5AC544C4" w14:textId="77777777" w:rsidR="000F087E" w:rsidRDefault="000F087E" w:rsidP="000F087E">
      <w:pPr>
        <w:jc w:val="both"/>
        <w:rPr>
          <w:b/>
          <w:bCs/>
        </w:rPr>
      </w:pPr>
    </w:p>
    <w:p w14:paraId="6292896D" w14:textId="77777777" w:rsidR="000F087E" w:rsidRDefault="000F087E" w:rsidP="000F087E">
      <w:pPr>
        <w:jc w:val="both"/>
        <w:rPr>
          <w:b/>
          <w:bCs/>
        </w:rPr>
      </w:pPr>
    </w:p>
    <w:p w14:paraId="14BC002C" w14:textId="77777777" w:rsidR="000F087E" w:rsidRDefault="000F087E" w:rsidP="000F087E">
      <w:pPr>
        <w:jc w:val="both"/>
        <w:rPr>
          <w:b/>
          <w:bCs/>
        </w:rPr>
      </w:pPr>
    </w:p>
    <w:p w14:paraId="64B31EF2" w14:textId="77777777" w:rsidR="000F087E" w:rsidRDefault="000F087E" w:rsidP="000F087E">
      <w:pPr>
        <w:jc w:val="both"/>
        <w:rPr>
          <w:b/>
          <w:bCs/>
        </w:rPr>
      </w:pPr>
    </w:p>
    <w:p w14:paraId="7B5ED800" w14:textId="77777777" w:rsidR="000F087E" w:rsidRDefault="000F087E" w:rsidP="000F087E">
      <w:pPr>
        <w:jc w:val="both"/>
        <w:rPr>
          <w:b/>
          <w:bCs/>
        </w:rPr>
      </w:pPr>
    </w:p>
    <w:p w14:paraId="6B528A25" w14:textId="1A2F4D91" w:rsidR="000F087E" w:rsidRDefault="000F087E" w:rsidP="000F087E">
      <w:pPr>
        <w:jc w:val="both"/>
        <w:rPr>
          <w:b/>
          <w:bCs/>
        </w:rPr>
      </w:pPr>
      <w:r w:rsidRPr="00D70CF0">
        <w:rPr>
          <w:b/>
          <w:bCs/>
        </w:rPr>
        <w:lastRenderedPageBreak/>
        <w:t xml:space="preserve">Chapter 7: </w:t>
      </w:r>
      <w:r>
        <w:rPr>
          <w:b/>
          <w:bCs/>
        </w:rPr>
        <w:t>E</w:t>
      </w:r>
      <w:r w:rsidRPr="00D70CF0">
        <w:rPr>
          <w:b/>
          <w:bCs/>
        </w:rPr>
        <w:t xml:space="preserve">nabling </w:t>
      </w:r>
      <w:r>
        <w:rPr>
          <w:b/>
          <w:bCs/>
        </w:rPr>
        <w:t>I</w:t>
      </w:r>
      <w:r w:rsidRPr="00D70CF0">
        <w:rPr>
          <w:b/>
          <w:bCs/>
        </w:rPr>
        <w:t xml:space="preserve">nnovation and </w:t>
      </w:r>
      <w:r>
        <w:rPr>
          <w:b/>
          <w:bCs/>
        </w:rPr>
        <w:t>A</w:t>
      </w:r>
      <w:r w:rsidRPr="00D70CF0">
        <w:rPr>
          <w:b/>
          <w:bCs/>
        </w:rPr>
        <w:t>mbition</w:t>
      </w:r>
    </w:p>
    <w:p w14:paraId="588A8E2C" w14:textId="77777777" w:rsidR="000F087E" w:rsidRPr="00E46FB4" w:rsidRDefault="000F087E" w:rsidP="000F087E">
      <w:pPr>
        <w:jc w:val="both"/>
        <w:rPr>
          <w:i/>
          <w:iCs/>
        </w:rPr>
      </w:pPr>
      <w:r w:rsidRPr="00E46FB4">
        <w:rPr>
          <w:i/>
          <w:iCs/>
        </w:rPr>
        <w:t>“We will make a self-improving school system a reality: one where every good school leader sees collaboration and sharing their practice as being at the core of what they do.”</w:t>
      </w:r>
      <w:r>
        <w:rPr>
          <w:rStyle w:val="FootnoteReference"/>
          <w:i/>
          <w:iCs/>
        </w:rPr>
        <w:footnoteReference w:id="14"/>
      </w:r>
    </w:p>
    <w:p w14:paraId="567D1B01" w14:textId="77777777" w:rsidR="000F087E" w:rsidRDefault="000F087E" w:rsidP="000F087E">
      <w:pPr>
        <w:pStyle w:val="ListParagraph"/>
        <w:numPr>
          <w:ilvl w:val="0"/>
          <w:numId w:val="6"/>
        </w:numPr>
        <w:spacing w:line="259" w:lineRule="auto"/>
        <w:jc w:val="both"/>
      </w:pPr>
      <w:r>
        <w:t>Rolling out of RISE and a consultation on how to expand eligibility to include schools with the very lowest levels of pupil achievement</w:t>
      </w:r>
    </w:p>
    <w:p w14:paraId="1881DA38" w14:textId="77777777" w:rsidR="000F087E" w:rsidRDefault="000F087E" w:rsidP="000F087E">
      <w:pPr>
        <w:pStyle w:val="ListParagraph"/>
        <w:numPr>
          <w:ilvl w:val="0"/>
          <w:numId w:val="6"/>
        </w:numPr>
        <w:spacing w:line="259" w:lineRule="auto"/>
        <w:jc w:val="both"/>
      </w:pPr>
      <w:r>
        <w:t>Building a one-stop-shop digital platform for schools to signpost them to quality assured support and provide schools with data to analyse their strengths and needs and benchmark against similar schools</w:t>
      </w:r>
    </w:p>
    <w:p w14:paraId="489D5C8D" w14:textId="77777777" w:rsidR="000F087E" w:rsidRDefault="000F087E" w:rsidP="000F087E">
      <w:pPr>
        <w:pStyle w:val="ListParagraph"/>
        <w:numPr>
          <w:ilvl w:val="0"/>
          <w:numId w:val="6"/>
        </w:numPr>
        <w:spacing w:line="259" w:lineRule="auto"/>
        <w:jc w:val="both"/>
      </w:pPr>
      <w:r>
        <w:t xml:space="preserve">Introducing a new set of </w:t>
      </w:r>
      <w:proofErr w:type="gramStart"/>
      <w:r>
        <w:t>test</w:t>
      </w:r>
      <w:proofErr w:type="gramEnd"/>
      <w:r>
        <w:t>, learn and grow challenges</w:t>
      </w:r>
    </w:p>
    <w:p w14:paraId="57F46EA1" w14:textId="77777777" w:rsidR="000F087E" w:rsidRDefault="000F087E" w:rsidP="000F087E">
      <w:pPr>
        <w:pStyle w:val="ListParagraph"/>
        <w:numPr>
          <w:ilvl w:val="0"/>
          <w:numId w:val="6"/>
        </w:numPr>
        <w:spacing w:line="259" w:lineRule="auto"/>
        <w:jc w:val="both"/>
      </w:pPr>
      <w:r>
        <w:t>Realising the potential of data, AI and tech including the development of AI product safety standards and the trialling of AI tutoring tools for secondary school children</w:t>
      </w:r>
    </w:p>
    <w:p w14:paraId="5744F56C" w14:textId="77777777" w:rsidR="000F087E" w:rsidRDefault="000F087E" w:rsidP="000F087E">
      <w:pPr>
        <w:pStyle w:val="ListParagraph"/>
        <w:numPr>
          <w:ilvl w:val="0"/>
          <w:numId w:val="6"/>
        </w:numPr>
        <w:spacing w:line="259" w:lineRule="auto"/>
        <w:jc w:val="both"/>
      </w:pPr>
      <w:r>
        <w:t>£23m to expand the EdTech Impact Testbed Pilot into a 4-year programme</w:t>
      </w:r>
    </w:p>
    <w:p w14:paraId="0B880F66" w14:textId="77777777" w:rsidR="000F087E" w:rsidRDefault="000F087E" w:rsidP="000F087E">
      <w:pPr>
        <w:pStyle w:val="ListParagraph"/>
        <w:numPr>
          <w:ilvl w:val="0"/>
          <w:numId w:val="6"/>
        </w:numPr>
        <w:spacing w:line="259" w:lineRule="auto"/>
        <w:jc w:val="both"/>
      </w:pPr>
      <w:r>
        <w:t>Development of a new data spine that will create a secure, privacy-respecting and streamlined way to connect and share information across different systems in education</w:t>
      </w:r>
    </w:p>
    <w:p w14:paraId="7DC36363" w14:textId="77777777" w:rsidR="000F087E" w:rsidRDefault="000F087E" w:rsidP="000F087E">
      <w:pPr>
        <w:pStyle w:val="ListParagraph"/>
        <w:numPr>
          <w:ilvl w:val="0"/>
          <w:numId w:val="6"/>
        </w:numPr>
        <w:spacing w:line="259" w:lineRule="auto"/>
        <w:jc w:val="both"/>
      </w:pPr>
      <w:r>
        <w:t>A clear and progressive skills pathway for digital and data skills for the education workforce</w:t>
      </w:r>
    </w:p>
    <w:p w14:paraId="4BC8DB07" w14:textId="77777777" w:rsidR="000F087E" w:rsidRDefault="000F087E" w:rsidP="000F087E">
      <w:pPr>
        <w:pStyle w:val="ListParagraph"/>
        <w:numPr>
          <w:ilvl w:val="0"/>
          <w:numId w:val="6"/>
        </w:numPr>
        <w:spacing w:line="259" w:lineRule="auto"/>
        <w:jc w:val="both"/>
      </w:pPr>
      <w:r>
        <w:t>£325m to upgrade wireless networks through Connect the Classroom</w:t>
      </w:r>
    </w:p>
    <w:p w14:paraId="7387845D" w14:textId="77777777" w:rsidR="000F087E" w:rsidRDefault="000F087E" w:rsidP="000F087E">
      <w:pPr>
        <w:pStyle w:val="ListParagraph"/>
        <w:numPr>
          <w:ilvl w:val="0"/>
          <w:numId w:val="6"/>
        </w:numPr>
        <w:spacing w:line="259" w:lineRule="auto"/>
        <w:jc w:val="both"/>
      </w:pPr>
      <w:r>
        <w:t>Plan Technology for your School - all schools to meet six core standards by 2030</w:t>
      </w:r>
    </w:p>
    <w:p w14:paraId="30EDE869" w14:textId="77777777" w:rsidR="000F087E" w:rsidRDefault="000F087E" w:rsidP="000F087E">
      <w:pPr>
        <w:pStyle w:val="ListParagraph"/>
        <w:numPr>
          <w:ilvl w:val="0"/>
          <w:numId w:val="6"/>
        </w:numPr>
        <w:spacing w:line="259" w:lineRule="auto"/>
        <w:jc w:val="both"/>
      </w:pPr>
      <w:r>
        <w:t>Building a stronger, more nuanced accountability system.</w:t>
      </w:r>
    </w:p>
    <w:p w14:paraId="31F9CB1A" w14:textId="77777777" w:rsidR="000F087E" w:rsidRDefault="000F087E" w:rsidP="000F087E">
      <w:pPr>
        <w:jc w:val="both"/>
        <w:rPr>
          <w:i/>
          <w:iCs/>
        </w:rPr>
      </w:pPr>
      <w:r>
        <w:rPr>
          <w:i/>
          <w:iCs/>
        </w:rPr>
        <w:t>“</w:t>
      </w:r>
      <w:r w:rsidRPr="00F46525">
        <w:rPr>
          <w:i/>
          <w:iCs/>
        </w:rPr>
        <w:t>The right accountability approach should empower innovation, not constrain it, by making improvement visible and actionable across the system.</w:t>
      </w:r>
      <w:r>
        <w:rPr>
          <w:i/>
          <w:iCs/>
        </w:rPr>
        <w:t>”</w:t>
      </w:r>
      <w:r>
        <w:rPr>
          <w:rStyle w:val="FootnoteReference"/>
          <w:i/>
          <w:iCs/>
        </w:rPr>
        <w:footnoteReference w:id="15"/>
      </w:r>
    </w:p>
    <w:p w14:paraId="0886F9E6" w14:textId="77777777" w:rsidR="000F087E" w:rsidRDefault="000F087E"/>
    <w:sectPr w:rsidR="000F087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4935" w14:textId="77777777" w:rsidR="00F665C2" w:rsidRDefault="00F665C2" w:rsidP="000F087E">
      <w:pPr>
        <w:spacing w:after="0" w:line="240" w:lineRule="auto"/>
      </w:pPr>
      <w:r>
        <w:separator/>
      </w:r>
    </w:p>
  </w:endnote>
  <w:endnote w:type="continuationSeparator" w:id="0">
    <w:p w14:paraId="5548A2CC" w14:textId="77777777" w:rsidR="00F665C2" w:rsidRDefault="00F665C2" w:rsidP="000F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475227"/>
      <w:docPartObj>
        <w:docPartGallery w:val="Page Numbers (Bottom of Page)"/>
        <w:docPartUnique/>
      </w:docPartObj>
    </w:sdtPr>
    <w:sdtEndPr>
      <w:rPr>
        <w:noProof/>
      </w:rPr>
    </w:sdtEndPr>
    <w:sdtContent>
      <w:p w14:paraId="085EF3F8" w14:textId="029B4C31" w:rsidR="000F087E" w:rsidRDefault="000F08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11BFF" w14:textId="77777777" w:rsidR="000F087E" w:rsidRDefault="000F0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BB08" w14:textId="77777777" w:rsidR="00F665C2" w:rsidRDefault="00F665C2" w:rsidP="000F087E">
      <w:pPr>
        <w:spacing w:after="0" w:line="240" w:lineRule="auto"/>
      </w:pPr>
      <w:r>
        <w:separator/>
      </w:r>
    </w:p>
  </w:footnote>
  <w:footnote w:type="continuationSeparator" w:id="0">
    <w:p w14:paraId="70D72ACE" w14:textId="77777777" w:rsidR="00F665C2" w:rsidRDefault="00F665C2" w:rsidP="000F087E">
      <w:pPr>
        <w:spacing w:after="0" w:line="240" w:lineRule="auto"/>
      </w:pPr>
      <w:r>
        <w:continuationSeparator/>
      </w:r>
    </w:p>
  </w:footnote>
  <w:footnote w:id="1">
    <w:p w14:paraId="56F17ECF" w14:textId="77777777" w:rsidR="000F087E" w:rsidRPr="00F3200C" w:rsidRDefault="000F087E" w:rsidP="000F087E">
      <w:pPr>
        <w:pStyle w:val="FootnoteText"/>
        <w:rPr>
          <w:sz w:val="18"/>
          <w:szCs w:val="18"/>
          <w:lang w:val="fr-FR"/>
        </w:rPr>
      </w:pPr>
      <w:r w:rsidRPr="00E21243">
        <w:rPr>
          <w:rStyle w:val="FootnoteReference"/>
          <w:sz w:val="18"/>
          <w:szCs w:val="18"/>
        </w:rPr>
        <w:footnoteRef/>
      </w:r>
      <w:r w:rsidRPr="00F3200C">
        <w:rPr>
          <w:sz w:val="18"/>
          <w:szCs w:val="18"/>
          <w:lang w:val="fr-FR"/>
        </w:rPr>
        <w:t xml:space="preserve"> Page 19</w:t>
      </w:r>
    </w:p>
  </w:footnote>
  <w:footnote w:id="2">
    <w:p w14:paraId="099AA74A" w14:textId="77777777" w:rsidR="000F087E" w:rsidRPr="00F3200C" w:rsidRDefault="000F087E" w:rsidP="000F087E">
      <w:pPr>
        <w:pStyle w:val="FootnoteText"/>
        <w:rPr>
          <w:sz w:val="18"/>
          <w:szCs w:val="18"/>
          <w:lang w:val="fr-FR"/>
        </w:rPr>
      </w:pPr>
      <w:r w:rsidRPr="00E21243">
        <w:rPr>
          <w:rStyle w:val="FootnoteReference"/>
          <w:sz w:val="18"/>
          <w:szCs w:val="18"/>
        </w:rPr>
        <w:footnoteRef/>
      </w:r>
      <w:r w:rsidRPr="00F3200C">
        <w:rPr>
          <w:sz w:val="18"/>
          <w:szCs w:val="18"/>
          <w:lang w:val="fr-FR"/>
        </w:rPr>
        <w:t xml:space="preserve"> Page 22</w:t>
      </w:r>
    </w:p>
  </w:footnote>
  <w:footnote w:id="3">
    <w:p w14:paraId="0D107E6E" w14:textId="77777777" w:rsidR="000F087E" w:rsidRPr="00F3200C" w:rsidRDefault="000F087E" w:rsidP="000F087E">
      <w:pPr>
        <w:pStyle w:val="FootnoteText"/>
        <w:rPr>
          <w:lang w:val="fr-FR"/>
        </w:rPr>
      </w:pPr>
      <w:r>
        <w:rPr>
          <w:rStyle w:val="FootnoteReference"/>
        </w:rPr>
        <w:footnoteRef/>
      </w:r>
      <w:r w:rsidRPr="00F3200C">
        <w:rPr>
          <w:sz w:val="18"/>
          <w:szCs w:val="18"/>
          <w:lang w:val="fr-FR"/>
        </w:rPr>
        <w:t xml:space="preserve"> Page 39</w:t>
      </w:r>
    </w:p>
  </w:footnote>
  <w:footnote w:id="4">
    <w:p w14:paraId="4CCEEC72" w14:textId="77777777" w:rsidR="000F087E" w:rsidRPr="00F3200C" w:rsidRDefault="000F087E" w:rsidP="000F087E">
      <w:pPr>
        <w:pStyle w:val="FootnoteText"/>
        <w:rPr>
          <w:lang w:val="fr-FR"/>
        </w:rPr>
      </w:pPr>
      <w:r>
        <w:rPr>
          <w:rStyle w:val="FootnoteReference"/>
        </w:rPr>
        <w:footnoteRef/>
      </w:r>
      <w:r w:rsidRPr="00F3200C">
        <w:rPr>
          <w:lang w:val="fr-FR"/>
        </w:rPr>
        <w:t xml:space="preserve"> </w:t>
      </w:r>
      <w:r w:rsidRPr="00F3200C">
        <w:rPr>
          <w:sz w:val="18"/>
          <w:szCs w:val="18"/>
          <w:lang w:val="fr-FR"/>
        </w:rPr>
        <w:t>Page 47</w:t>
      </w:r>
    </w:p>
  </w:footnote>
  <w:footnote w:id="5">
    <w:p w14:paraId="3951AAE1" w14:textId="77777777" w:rsidR="000F087E" w:rsidRPr="00F3200C" w:rsidRDefault="000F087E" w:rsidP="000F087E">
      <w:pPr>
        <w:pStyle w:val="FootnoteText"/>
        <w:rPr>
          <w:sz w:val="18"/>
          <w:szCs w:val="18"/>
          <w:lang w:val="fr-FR"/>
        </w:rPr>
      </w:pPr>
      <w:r w:rsidRPr="00D87D8C">
        <w:rPr>
          <w:rStyle w:val="FootnoteReference"/>
          <w:sz w:val="18"/>
          <w:szCs w:val="18"/>
        </w:rPr>
        <w:footnoteRef/>
      </w:r>
      <w:r w:rsidRPr="00F3200C">
        <w:rPr>
          <w:sz w:val="18"/>
          <w:szCs w:val="18"/>
          <w:lang w:val="fr-FR"/>
        </w:rPr>
        <w:t xml:space="preserve"> Page 48</w:t>
      </w:r>
    </w:p>
  </w:footnote>
  <w:footnote w:id="6">
    <w:p w14:paraId="0D154EEF" w14:textId="77777777" w:rsidR="000F087E" w:rsidRPr="00F3200C" w:rsidRDefault="000F087E" w:rsidP="000F087E">
      <w:pPr>
        <w:pStyle w:val="FootnoteText"/>
        <w:rPr>
          <w:sz w:val="18"/>
          <w:szCs w:val="18"/>
          <w:lang w:val="fr-FR"/>
        </w:rPr>
      </w:pPr>
      <w:r w:rsidRPr="00B16751">
        <w:rPr>
          <w:rStyle w:val="FootnoteReference"/>
          <w:sz w:val="18"/>
          <w:szCs w:val="18"/>
        </w:rPr>
        <w:footnoteRef/>
      </w:r>
      <w:r w:rsidRPr="00F3200C">
        <w:rPr>
          <w:sz w:val="18"/>
          <w:szCs w:val="18"/>
          <w:lang w:val="fr-FR"/>
        </w:rPr>
        <w:t xml:space="preserve"> Page 55</w:t>
      </w:r>
    </w:p>
  </w:footnote>
  <w:footnote w:id="7">
    <w:p w14:paraId="0581EE76" w14:textId="77777777" w:rsidR="000F087E" w:rsidRPr="00F3200C" w:rsidRDefault="000F087E" w:rsidP="000F087E">
      <w:pPr>
        <w:pStyle w:val="FootnoteText"/>
        <w:rPr>
          <w:sz w:val="18"/>
          <w:szCs w:val="18"/>
          <w:lang w:val="fr-FR"/>
        </w:rPr>
      </w:pPr>
      <w:r w:rsidRPr="00707F78">
        <w:rPr>
          <w:rStyle w:val="FootnoteReference"/>
          <w:sz w:val="18"/>
          <w:szCs w:val="18"/>
        </w:rPr>
        <w:footnoteRef/>
      </w:r>
      <w:r w:rsidRPr="00F3200C">
        <w:rPr>
          <w:sz w:val="18"/>
          <w:szCs w:val="18"/>
          <w:lang w:val="fr-FR"/>
        </w:rPr>
        <w:t xml:space="preserve"> Page 76</w:t>
      </w:r>
    </w:p>
  </w:footnote>
  <w:footnote w:id="8">
    <w:p w14:paraId="64A5CADB" w14:textId="77777777" w:rsidR="000F087E" w:rsidRPr="00F3200C" w:rsidRDefault="000F087E" w:rsidP="000F087E">
      <w:pPr>
        <w:pStyle w:val="FootnoteText"/>
        <w:rPr>
          <w:lang w:val="fr-FR"/>
        </w:rPr>
      </w:pPr>
      <w:r>
        <w:rPr>
          <w:rStyle w:val="FootnoteReference"/>
        </w:rPr>
        <w:footnoteRef/>
      </w:r>
      <w:r w:rsidRPr="00F3200C">
        <w:rPr>
          <w:sz w:val="18"/>
          <w:szCs w:val="18"/>
          <w:lang w:val="fr-FR"/>
        </w:rPr>
        <w:t xml:space="preserve"> Page 85</w:t>
      </w:r>
    </w:p>
  </w:footnote>
  <w:footnote w:id="9">
    <w:p w14:paraId="476410EB" w14:textId="77777777" w:rsidR="000F087E" w:rsidRPr="00F3200C" w:rsidRDefault="000F087E" w:rsidP="000F087E">
      <w:pPr>
        <w:pStyle w:val="FootnoteText"/>
        <w:rPr>
          <w:sz w:val="18"/>
          <w:szCs w:val="18"/>
          <w:lang w:val="fr-FR"/>
        </w:rPr>
      </w:pPr>
      <w:r w:rsidRPr="003323C9">
        <w:rPr>
          <w:rStyle w:val="FootnoteReference"/>
          <w:sz w:val="18"/>
          <w:szCs w:val="18"/>
        </w:rPr>
        <w:footnoteRef/>
      </w:r>
      <w:r w:rsidRPr="00F3200C">
        <w:rPr>
          <w:sz w:val="18"/>
          <w:szCs w:val="18"/>
          <w:lang w:val="fr-FR"/>
        </w:rPr>
        <w:t xml:space="preserve"> Page 86</w:t>
      </w:r>
    </w:p>
  </w:footnote>
  <w:footnote w:id="10">
    <w:p w14:paraId="64E9EDA5" w14:textId="77777777" w:rsidR="000F087E" w:rsidRPr="00F3200C" w:rsidRDefault="000F087E" w:rsidP="000F087E">
      <w:pPr>
        <w:pStyle w:val="FootnoteText"/>
        <w:rPr>
          <w:lang w:val="fr-FR"/>
        </w:rPr>
      </w:pPr>
      <w:r>
        <w:rPr>
          <w:rStyle w:val="FootnoteReference"/>
        </w:rPr>
        <w:footnoteRef/>
      </w:r>
      <w:r w:rsidRPr="00F3200C">
        <w:rPr>
          <w:lang w:val="fr-FR"/>
        </w:rPr>
        <w:t xml:space="preserve"> </w:t>
      </w:r>
      <w:r w:rsidRPr="00F3200C">
        <w:rPr>
          <w:sz w:val="18"/>
          <w:szCs w:val="18"/>
          <w:lang w:val="fr-FR"/>
        </w:rPr>
        <w:t>Page 86</w:t>
      </w:r>
    </w:p>
  </w:footnote>
  <w:footnote w:id="11">
    <w:p w14:paraId="7D4ED0D1" w14:textId="77777777" w:rsidR="000F087E" w:rsidRPr="00F3200C" w:rsidRDefault="000F087E" w:rsidP="000F087E">
      <w:pPr>
        <w:pStyle w:val="FootnoteText"/>
        <w:rPr>
          <w:lang w:val="fr-FR"/>
        </w:rPr>
      </w:pPr>
      <w:r>
        <w:rPr>
          <w:rStyle w:val="FootnoteReference"/>
        </w:rPr>
        <w:footnoteRef/>
      </w:r>
      <w:r w:rsidRPr="00F3200C">
        <w:rPr>
          <w:lang w:val="fr-FR"/>
        </w:rPr>
        <w:t xml:space="preserve"> </w:t>
      </w:r>
      <w:r w:rsidRPr="00F3200C">
        <w:rPr>
          <w:sz w:val="18"/>
          <w:szCs w:val="18"/>
          <w:lang w:val="fr-FR"/>
        </w:rPr>
        <w:t>Page 87</w:t>
      </w:r>
    </w:p>
  </w:footnote>
  <w:footnote w:id="12">
    <w:p w14:paraId="53ADE81F" w14:textId="77777777" w:rsidR="000F087E" w:rsidRPr="00F3200C" w:rsidRDefault="000F087E" w:rsidP="000F087E">
      <w:pPr>
        <w:pStyle w:val="FootnoteText"/>
        <w:rPr>
          <w:lang w:val="fr-FR"/>
        </w:rPr>
      </w:pPr>
      <w:r>
        <w:rPr>
          <w:rStyle w:val="FootnoteReference"/>
        </w:rPr>
        <w:footnoteRef/>
      </w:r>
      <w:r w:rsidRPr="00F3200C">
        <w:rPr>
          <w:lang w:val="fr-FR"/>
        </w:rPr>
        <w:t xml:space="preserve"> </w:t>
      </w:r>
      <w:r w:rsidRPr="00F3200C">
        <w:rPr>
          <w:sz w:val="18"/>
          <w:szCs w:val="18"/>
          <w:lang w:val="fr-FR"/>
        </w:rPr>
        <w:t>Page 88</w:t>
      </w:r>
    </w:p>
  </w:footnote>
  <w:footnote w:id="13">
    <w:p w14:paraId="51AED363" w14:textId="77777777" w:rsidR="000F087E" w:rsidRPr="00F3200C" w:rsidRDefault="000F087E" w:rsidP="000F087E">
      <w:pPr>
        <w:pStyle w:val="FootnoteText"/>
        <w:rPr>
          <w:lang w:val="fr-FR"/>
        </w:rPr>
      </w:pPr>
      <w:r>
        <w:rPr>
          <w:rStyle w:val="FootnoteReference"/>
        </w:rPr>
        <w:footnoteRef/>
      </w:r>
      <w:r w:rsidRPr="00F3200C">
        <w:rPr>
          <w:lang w:val="fr-FR"/>
        </w:rPr>
        <w:t xml:space="preserve"> </w:t>
      </w:r>
      <w:r w:rsidRPr="00F3200C">
        <w:rPr>
          <w:sz w:val="18"/>
          <w:szCs w:val="18"/>
          <w:lang w:val="fr-FR"/>
        </w:rPr>
        <w:t>Page 88</w:t>
      </w:r>
    </w:p>
  </w:footnote>
  <w:footnote w:id="14">
    <w:p w14:paraId="3AF06CE9" w14:textId="77777777" w:rsidR="000F087E" w:rsidRPr="00F3200C" w:rsidRDefault="000F087E" w:rsidP="000F087E">
      <w:pPr>
        <w:pStyle w:val="FootnoteText"/>
        <w:rPr>
          <w:sz w:val="18"/>
          <w:szCs w:val="18"/>
          <w:lang w:val="fr-FR"/>
        </w:rPr>
      </w:pPr>
      <w:r w:rsidRPr="00E46FB4">
        <w:rPr>
          <w:rStyle w:val="FootnoteReference"/>
          <w:sz w:val="18"/>
          <w:szCs w:val="18"/>
        </w:rPr>
        <w:footnoteRef/>
      </w:r>
      <w:r w:rsidRPr="00F3200C">
        <w:rPr>
          <w:sz w:val="18"/>
          <w:szCs w:val="18"/>
          <w:lang w:val="fr-FR"/>
        </w:rPr>
        <w:t xml:space="preserve"> Page 92</w:t>
      </w:r>
    </w:p>
  </w:footnote>
  <w:footnote w:id="15">
    <w:p w14:paraId="348EE85C" w14:textId="77777777" w:rsidR="000F087E" w:rsidRPr="00F3200C" w:rsidRDefault="000F087E" w:rsidP="000F087E">
      <w:pPr>
        <w:pStyle w:val="FootnoteText"/>
        <w:rPr>
          <w:sz w:val="18"/>
          <w:szCs w:val="18"/>
          <w:lang w:val="fr-FR"/>
        </w:rPr>
      </w:pPr>
      <w:r w:rsidRPr="00F46525">
        <w:rPr>
          <w:rStyle w:val="FootnoteReference"/>
          <w:sz w:val="18"/>
          <w:szCs w:val="18"/>
        </w:rPr>
        <w:footnoteRef/>
      </w:r>
      <w:r w:rsidRPr="00F3200C">
        <w:rPr>
          <w:sz w:val="18"/>
          <w:szCs w:val="18"/>
          <w:lang w:val="fr-FR"/>
        </w:rPr>
        <w:t xml:space="preserve"> Page 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0FB"/>
    <w:multiLevelType w:val="hybridMultilevel"/>
    <w:tmpl w:val="CF78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212F1"/>
    <w:multiLevelType w:val="hybridMultilevel"/>
    <w:tmpl w:val="CF0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759B8"/>
    <w:multiLevelType w:val="hybridMultilevel"/>
    <w:tmpl w:val="822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206C2"/>
    <w:multiLevelType w:val="hybridMultilevel"/>
    <w:tmpl w:val="DC8A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1F3C58"/>
    <w:multiLevelType w:val="hybridMultilevel"/>
    <w:tmpl w:val="741A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D549B"/>
    <w:multiLevelType w:val="hybridMultilevel"/>
    <w:tmpl w:val="1A10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F4873"/>
    <w:multiLevelType w:val="hybridMultilevel"/>
    <w:tmpl w:val="35F2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B044D"/>
    <w:multiLevelType w:val="hybridMultilevel"/>
    <w:tmpl w:val="75B0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949729">
    <w:abstractNumId w:val="1"/>
  </w:num>
  <w:num w:numId="2" w16cid:durableId="730154251">
    <w:abstractNumId w:val="0"/>
  </w:num>
  <w:num w:numId="3" w16cid:durableId="1150057228">
    <w:abstractNumId w:val="5"/>
  </w:num>
  <w:num w:numId="4" w16cid:durableId="640161925">
    <w:abstractNumId w:val="4"/>
  </w:num>
  <w:num w:numId="5" w16cid:durableId="2027245288">
    <w:abstractNumId w:val="7"/>
  </w:num>
  <w:num w:numId="6" w16cid:durableId="1081486889">
    <w:abstractNumId w:val="2"/>
  </w:num>
  <w:num w:numId="7" w16cid:durableId="412506056">
    <w:abstractNumId w:val="6"/>
  </w:num>
  <w:num w:numId="8" w16cid:durableId="990256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7E"/>
    <w:rsid w:val="000F087E"/>
    <w:rsid w:val="004C5FBD"/>
    <w:rsid w:val="00847A4A"/>
    <w:rsid w:val="00AA2DC6"/>
    <w:rsid w:val="00F5418C"/>
    <w:rsid w:val="00F665C2"/>
    <w:rsid w:val="00FA5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6317"/>
  <w15:chartTrackingRefBased/>
  <w15:docId w15:val="{E3739BFA-E2F7-4E19-B527-35C75885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7E"/>
  </w:style>
  <w:style w:type="paragraph" w:styleId="Heading1">
    <w:name w:val="heading 1"/>
    <w:basedOn w:val="Normal"/>
    <w:next w:val="Normal"/>
    <w:link w:val="Heading1Char"/>
    <w:uiPriority w:val="9"/>
    <w:qFormat/>
    <w:rsid w:val="000F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87E"/>
    <w:rPr>
      <w:rFonts w:eastAsiaTheme="majorEastAsia" w:cstheme="majorBidi"/>
      <w:color w:val="272727" w:themeColor="text1" w:themeTint="D8"/>
    </w:rPr>
  </w:style>
  <w:style w:type="paragraph" w:styleId="Title">
    <w:name w:val="Title"/>
    <w:basedOn w:val="Normal"/>
    <w:next w:val="Normal"/>
    <w:link w:val="TitleChar"/>
    <w:uiPriority w:val="10"/>
    <w:qFormat/>
    <w:rsid w:val="000F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87E"/>
    <w:pPr>
      <w:spacing w:before="160"/>
      <w:jc w:val="center"/>
    </w:pPr>
    <w:rPr>
      <w:i/>
      <w:iCs/>
      <w:color w:val="404040" w:themeColor="text1" w:themeTint="BF"/>
    </w:rPr>
  </w:style>
  <w:style w:type="character" w:customStyle="1" w:styleId="QuoteChar">
    <w:name w:val="Quote Char"/>
    <w:basedOn w:val="DefaultParagraphFont"/>
    <w:link w:val="Quote"/>
    <w:uiPriority w:val="29"/>
    <w:rsid w:val="000F087E"/>
    <w:rPr>
      <w:i/>
      <w:iCs/>
      <w:color w:val="404040" w:themeColor="text1" w:themeTint="BF"/>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0F087E"/>
    <w:pPr>
      <w:ind w:left="720"/>
      <w:contextualSpacing/>
    </w:pPr>
  </w:style>
  <w:style w:type="character" w:styleId="IntenseEmphasis">
    <w:name w:val="Intense Emphasis"/>
    <w:basedOn w:val="DefaultParagraphFont"/>
    <w:uiPriority w:val="21"/>
    <w:qFormat/>
    <w:rsid w:val="000F087E"/>
    <w:rPr>
      <w:i/>
      <w:iCs/>
      <w:color w:val="0F4761" w:themeColor="accent1" w:themeShade="BF"/>
    </w:rPr>
  </w:style>
  <w:style w:type="paragraph" w:styleId="IntenseQuote">
    <w:name w:val="Intense Quote"/>
    <w:basedOn w:val="Normal"/>
    <w:next w:val="Normal"/>
    <w:link w:val="IntenseQuoteChar"/>
    <w:uiPriority w:val="30"/>
    <w:qFormat/>
    <w:rsid w:val="000F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87E"/>
    <w:rPr>
      <w:i/>
      <w:iCs/>
      <w:color w:val="0F4761" w:themeColor="accent1" w:themeShade="BF"/>
    </w:rPr>
  </w:style>
  <w:style w:type="character" w:styleId="IntenseReference">
    <w:name w:val="Intense Reference"/>
    <w:basedOn w:val="DefaultParagraphFont"/>
    <w:uiPriority w:val="32"/>
    <w:qFormat/>
    <w:rsid w:val="000F087E"/>
    <w:rPr>
      <w:b/>
      <w:bCs/>
      <w:smallCaps/>
      <w:color w:val="0F4761" w:themeColor="accent1" w:themeShade="BF"/>
      <w:spacing w:val="5"/>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0F087E"/>
  </w:style>
  <w:style w:type="paragraph" w:styleId="FootnoteText">
    <w:name w:val="footnote text"/>
    <w:basedOn w:val="Normal"/>
    <w:link w:val="FootnoteTextChar"/>
    <w:uiPriority w:val="99"/>
    <w:semiHidden/>
    <w:unhideWhenUsed/>
    <w:rsid w:val="000F0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87E"/>
    <w:rPr>
      <w:sz w:val="20"/>
      <w:szCs w:val="20"/>
    </w:rPr>
  </w:style>
  <w:style w:type="character" w:styleId="FootnoteReference">
    <w:name w:val="footnote reference"/>
    <w:basedOn w:val="DefaultParagraphFont"/>
    <w:uiPriority w:val="99"/>
    <w:semiHidden/>
    <w:unhideWhenUsed/>
    <w:rsid w:val="000F087E"/>
    <w:rPr>
      <w:vertAlign w:val="superscript"/>
    </w:rPr>
  </w:style>
  <w:style w:type="paragraph" w:styleId="Header">
    <w:name w:val="header"/>
    <w:basedOn w:val="Normal"/>
    <w:link w:val="HeaderChar"/>
    <w:uiPriority w:val="99"/>
    <w:unhideWhenUsed/>
    <w:rsid w:val="000F0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87E"/>
  </w:style>
  <w:style w:type="paragraph" w:styleId="Footer">
    <w:name w:val="footer"/>
    <w:basedOn w:val="Normal"/>
    <w:link w:val="FooterChar"/>
    <w:uiPriority w:val="99"/>
    <w:unhideWhenUsed/>
    <w:rsid w:val="000F0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3358</Words>
  <Characters>18671</Characters>
  <Application>Microsoft Office Word</Application>
  <DocSecurity>0</DocSecurity>
  <Lines>434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Woods</dc:creator>
  <cp:keywords/>
  <dc:description/>
  <cp:lastModifiedBy>Richard Woods</cp:lastModifiedBy>
  <cp:revision>2</cp:revision>
  <cp:lastPrinted>2026-03-16T13:08:00Z</cp:lastPrinted>
  <dcterms:created xsi:type="dcterms:W3CDTF">2026-03-11T13:46:00Z</dcterms:created>
  <dcterms:modified xsi:type="dcterms:W3CDTF">2026-03-16T13:08:00Z</dcterms:modified>
</cp:coreProperties>
</file>